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32086" w14:textId="74D3787D" w:rsidR="00E14973" w:rsidRPr="00054010" w:rsidRDefault="00E14973" w:rsidP="00E14973">
      <w:pPr>
        <w:pStyle w:val="Heading1"/>
        <w:pBdr>
          <w:bottom w:val="single" w:sz="6" w:space="1" w:color="auto"/>
        </w:pBdr>
        <w:spacing w:before="0" w:after="200" w:line="360" w:lineRule="auto"/>
        <w:jc w:val="both"/>
        <w:rPr>
          <w:rFonts w:ascii="Arial" w:hAnsi="Arial" w:cs="Arial"/>
          <w:color w:val="0070C0"/>
          <w:sz w:val="24"/>
          <w:szCs w:val="24"/>
          <w:lang w:eastAsia="en-GB"/>
        </w:rPr>
      </w:pPr>
      <w:bookmarkStart w:id="0" w:name="_Toc195017887"/>
      <w:r w:rsidRPr="00054010">
        <w:rPr>
          <w:rFonts w:ascii="Arial" w:hAnsi="Arial" w:cs="Arial"/>
          <w:color w:val="0070C0"/>
          <w:sz w:val="24"/>
          <w:szCs w:val="24"/>
          <w:lang w:eastAsia="en-GB"/>
        </w:rPr>
        <w:t>GM Cancer Access Policy</w:t>
      </w:r>
    </w:p>
    <w:p w14:paraId="1A66294C" w14:textId="77777777" w:rsidR="00E14973" w:rsidRPr="00054010" w:rsidRDefault="00E14973" w:rsidP="00E14973">
      <w:pPr>
        <w:rPr>
          <w:lang w:eastAsia="en-GB"/>
        </w:rPr>
      </w:pPr>
    </w:p>
    <w:p w14:paraId="4E1C2588" w14:textId="77777777" w:rsidR="00E14973" w:rsidRPr="00054010" w:rsidRDefault="00E14973" w:rsidP="00E14973">
      <w:pPr>
        <w:rPr>
          <w:lang w:eastAsia="en-GB"/>
        </w:rPr>
      </w:pPr>
    </w:p>
    <w:p w14:paraId="75711947" w14:textId="77777777" w:rsidR="00664F40" w:rsidRPr="00054010" w:rsidRDefault="00664F40" w:rsidP="00033806">
      <w:pPr>
        <w:pStyle w:val="Heading2"/>
        <w:numPr>
          <w:ilvl w:val="1"/>
          <w:numId w:val="2"/>
        </w:numPr>
        <w:tabs>
          <w:tab w:val="num" w:pos="360"/>
        </w:tabs>
        <w:spacing w:before="0" w:after="200" w:line="360" w:lineRule="auto"/>
        <w:ind w:left="0" w:firstLine="0"/>
        <w:jc w:val="both"/>
        <w:rPr>
          <w:rFonts w:ascii="Arial" w:hAnsi="Arial" w:cs="Arial"/>
          <w:color w:val="0070C0"/>
          <w:sz w:val="24"/>
          <w:szCs w:val="24"/>
        </w:rPr>
      </w:pPr>
      <w:bookmarkStart w:id="1" w:name="_Toc195017888"/>
      <w:bookmarkEnd w:id="0"/>
      <w:r w:rsidRPr="00054010">
        <w:rPr>
          <w:rFonts w:ascii="Arial" w:hAnsi="Arial" w:cs="Arial"/>
          <w:color w:val="0070C0"/>
          <w:sz w:val="24"/>
          <w:szCs w:val="24"/>
        </w:rPr>
        <w:t>Introduction and Overarching Principles</w:t>
      </w:r>
      <w:bookmarkEnd w:id="1"/>
    </w:p>
    <w:p w14:paraId="6514E4EB" w14:textId="77777777" w:rsidR="00AB4F0F" w:rsidRPr="00054010" w:rsidRDefault="00AB4F0F" w:rsidP="00E14973">
      <w:pPr>
        <w:spacing w:after="200" w:line="360" w:lineRule="auto"/>
        <w:jc w:val="both"/>
        <w:rPr>
          <w:rFonts w:ascii="Arial" w:hAnsi="Arial" w:cs="Arial"/>
          <w:sz w:val="20"/>
          <w:szCs w:val="20"/>
        </w:rPr>
      </w:pPr>
      <w:r w:rsidRPr="00054010">
        <w:rPr>
          <w:rFonts w:ascii="Arial" w:hAnsi="Arial" w:cs="Arial"/>
          <w:sz w:val="20"/>
          <w:szCs w:val="20"/>
        </w:rPr>
        <w:t xml:space="preserve">This section describes the required management of waiting times for patients with suspected and confirmed cancer, to ensure that such patients are diagnosed and treated as rapidly as possible and within the national waiting times standards.  </w:t>
      </w:r>
      <w:r w:rsidR="00E14973" w:rsidRPr="00054010">
        <w:rPr>
          <w:rFonts w:ascii="Arial" w:hAnsi="Arial" w:cs="Arial"/>
          <w:sz w:val="20"/>
          <w:szCs w:val="20"/>
        </w:rPr>
        <w:t>The Greater Manchester Cancer Access Policy section should be read in conjunction with the wider principles of the Elective Access Policy</w:t>
      </w:r>
      <w:r w:rsidRPr="00054010">
        <w:rPr>
          <w:rFonts w:ascii="Arial" w:hAnsi="Arial" w:cs="Arial"/>
          <w:sz w:val="20"/>
          <w:szCs w:val="20"/>
        </w:rPr>
        <w:t xml:space="preserve">, </w:t>
      </w:r>
      <w:r w:rsidR="00E14973" w:rsidRPr="00054010">
        <w:rPr>
          <w:rFonts w:ascii="Arial" w:hAnsi="Arial" w:cs="Arial"/>
          <w:sz w:val="20"/>
          <w:szCs w:val="20"/>
        </w:rPr>
        <w:t>the national Cancer Waiting Times (CWT) Guidance</w:t>
      </w:r>
      <w:r w:rsidRPr="00054010">
        <w:rPr>
          <w:rFonts w:ascii="Arial" w:hAnsi="Arial" w:cs="Arial"/>
          <w:sz w:val="20"/>
          <w:szCs w:val="20"/>
        </w:rPr>
        <w:t>, the GM Inter-provider Transfer (IPT) policy, local SOPs and policy for cancer pathway management</w:t>
      </w:r>
      <w:r w:rsidR="00E14973" w:rsidRPr="00054010">
        <w:rPr>
          <w:rFonts w:ascii="Arial" w:hAnsi="Arial" w:cs="Arial"/>
          <w:sz w:val="20"/>
          <w:szCs w:val="20"/>
        </w:rPr>
        <w:t xml:space="preserve">. </w:t>
      </w:r>
    </w:p>
    <w:p w14:paraId="29D7D325" w14:textId="1FC9EABE" w:rsidR="00E14973" w:rsidRPr="00054010" w:rsidRDefault="00E14973" w:rsidP="00E14973">
      <w:pPr>
        <w:spacing w:after="200" w:line="360" w:lineRule="auto"/>
        <w:jc w:val="both"/>
        <w:rPr>
          <w:rFonts w:ascii="Arial" w:hAnsi="Arial" w:cs="Arial"/>
          <w:sz w:val="20"/>
          <w:szCs w:val="20"/>
        </w:rPr>
      </w:pPr>
      <w:r w:rsidRPr="00054010">
        <w:rPr>
          <w:rFonts w:ascii="Arial" w:hAnsi="Arial" w:cs="Arial"/>
          <w:sz w:val="20"/>
          <w:szCs w:val="20"/>
        </w:rPr>
        <w:t xml:space="preserve">The national CWT guidance is the primary source of access information for the management of patients on cancer pathways.  This </w:t>
      </w:r>
      <w:r w:rsidR="00D87E53" w:rsidRPr="00054010">
        <w:rPr>
          <w:rFonts w:ascii="Arial" w:hAnsi="Arial" w:cs="Arial"/>
          <w:sz w:val="20"/>
          <w:szCs w:val="20"/>
        </w:rPr>
        <w:t>section of the access policy</w:t>
      </w:r>
      <w:r w:rsidRPr="00054010">
        <w:rPr>
          <w:rFonts w:ascii="Arial" w:hAnsi="Arial" w:cs="Arial"/>
          <w:sz w:val="20"/>
          <w:szCs w:val="20"/>
        </w:rPr>
        <w:t xml:space="preserve"> is written in conjunction with V12.1.  Future iterations of CWT will </w:t>
      </w:r>
      <w:r w:rsidR="00054010" w:rsidRPr="00054010">
        <w:rPr>
          <w:rFonts w:ascii="Arial" w:hAnsi="Arial" w:cs="Arial"/>
          <w:sz w:val="20"/>
          <w:szCs w:val="20"/>
        </w:rPr>
        <w:t>supersede</w:t>
      </w:r>
      <w:r w:rsidRPr="00054010">
        <w:rPr>
          <w:rFonts w:ascii="Arial" w:hAnsi="Arial" w:cs="Arial"/>
          <w:sz w:val="20"/>
          <w:szCs w:val="20"/>
        </w:rPr>
        <w:t xml:space="preserve"> the content of this policy.</w:t>
      </w:r>
    </w:p>
    <w:p w14:paraId="15074193" w14:textId="3C498535" w:rsidR="00AB4F0F" w:rsidRPr="00054010" w:rsidRDefault="00AB4F0F" w:rsidP="00AB4F0F">
      <w:pPr>
        <w:pStyle w:val="Title"/>
        <w:spacing w:after="200" w:line="360" w:lineRule="auto"/>
        <w:jc w:val="both"/>
        <w:rPr>
          <w:rFonts w:ascii="Arial" w:hAnsi="Arial" w:cs="Arial"/>
          <w:b/>
          <w:sz w:val="20"/>
          <w:szCs w:val="20"/>
        </w:rPr>
      </w:pPr>
      <w:r w:rsidRPr="00054010">
        <w:rPr>
          <w:rFonts w:ascii="Arial" w:hAnsi="Arial" w:cs="Arial"/>
          <w:sz w:val="20"/>
          <w:szCs w:val="20"/>
        </w:rPr>
        <w:t xml:space="preserve">As defined in the NHS Constitution, patients have the right to expect to be seen and treated within national operational standards ensuring timely diagnosis and treatment, equity of care and patient choice. Patients will, wherever possible, be offered dates for appointment or treatment in chronological order, based on the number of days remaining on their cancer pathway, unless there are identified clinical exceptions. Wherever possible, patients will be given reasonable notice and choice of appointments and </w:t>
      </w:r>
      <w:r w:rsidR="00D87E53" w:rsidRPr="00054010">
        <w:rPr>
          <w:rFonts w:ascii="Arial" w:hAnsi="Arial" w:cs="Arial"/>
          <w:sz w:val="20"/>
          <w:szCs w:val="20"/>
        </w:rPr>
        <w:t>treatment</w:t>
      </w:r>
      <w:r w:rsidRPr="00054010">
        <w:rPr>
          <w:rFonts w:ascii="Arial" w:hAnsi="Arial" w:cs="Arial"/>
          <w:sz w:val="20"/>
          <w:szCs w:val="20"/>
        </w:rPr>
        <w:t xml:space="preserve"> dates as defined within the policy. </w:t>
      </w:r>
    </w:p>
    <w:p w14:paraId="526B679D" w14:textId="77777777" w:rsidR="00AB4F0F" w:rsidRPr="00054010" w:rsidRDefault="00AB4F0F" w:rsidP="00AB4F0F">
      <w:pPr>
        <w:pStyle w:val="Title"/>
        <w:spacing w:after="200" w:line="360" w:lineRule="auto"/>
        <w:jc w:val="both"/>
        <w:rPr>
          <w:rFonts w:ascii="Arial" w:hAnsi="Arial" w:cs="Arial"/>
          <w:b/>
          <w:sz w:val="20"/>
          <w:szCs w:val="20"/>
        </w:rPr>
      </w:pPr>
    </w:p>
    <w:p w14:paraId="7D72C940" w14:textId="6BCFDEEF" w:rsidR="00AB4F0F" w:rsidRPr="00054010" w:rsidRDefault="00AB4F0F" w:rsidP="00AB4F0F">
      <w:pPr>
        <w:pStyle w:val="Title"/>
        <w:spacing w:after="200" w:line="360" w:lineRule="auto"/>
        <w:jc w:val="both"/>
        <w:rPr>
          <w:rFonts w:ascii="Arial" w:hAnsi="Arial" w:cs="Arial"/>
          <w:b/>
          <w:sz w:val="20"/>
          <w:szCs w:val="20"/>
        </w:rPr>
      </w:pPr>
      <w:r w:rsidRPr="00054010">
        <w:rPr>
          <w:rFonts w:ascii="Arial" w:hAnsi="Arial" w:cs="Arial"/>
          <w:sz w:val="20"/>
          <w:szCs w:val="20"/>
        </w:rPr>
        <w:t>The standards are:</w:t>
      </w:r>
    </w:p>
    <w:p w14:paraId="379F8693" w14:textId="77777777" w:rsidR="00AB4F0F" w:rsidRPr="00054010" w:rsidRDefault="00AB4F0F" w:rsidP="00AB4F0F">
      <w:pPr>
        <w:pStyle w:val="Title"/>
        <w:spacing w:after="200" w:line="360" w:lineRule="auto"/>
        <w:jc w:val="both"/>
        <w:rPr>
          <w:rFonts w:ascii="Arial" w:hAnsi="Arial" w:cs="Arial"/>
          <w:b/>
          <w:sz w:val="20"/>
          <w:szCs w:val="20"/>
        </w:rPr>
      </w:pPr>
    </w:p>
    <w:p w14:paraId="7DFA85A6" w14:textId="35F52403" w:rsidR="00AB4F0F" w:rsidRPr="00054010" w:rsidRDefault="00AB4F0F" w:rsidP="00AB4F0F">
      <w:pPr>
        <w:pStyle w:val="Title"/>
        <w:numPr>
          <w:ilvl w:val="0"/>
          <w:numId w:val="20"/>
        </w:numPr>
        <w:spacing w:after="200" w:line="360" w:lineRule="auto"/>
        <w:contextualSpacing w:val="0"/>
        <w:jc w:val="both"/>
        <w:rPr>
          <w:rFonts w:ascii="Arial" w:hAnsi="Arial" w:cs="Arial"/>
          <w:b/>
          <w:sz w:val="20"/>
          <w:szCs w:val="20"/>
        </w:rPr>
      </w:pPr>
      <w:r w:rsidRPr="00054010">
        <w:rPr>
          <w:rFonts w:ascii="Arial" w:hAnsi="Arial" w:cs="Arial"/>
          <w:sz w:val="20"/>
          <w:szCs w:val="20"/>
        </w:rPr>
        <w:t>Faster Diagnosis Standard: a diagnosis or ruling out of cancer within 28 days of referral (set at 77% rising to 80% by 31.03.26)</w:t>
      </w:r>
    </w:p>
    <w:p w14:paraId="2D5CD8B3" w14:textId="7E995735" w:rsidR="00AB4F0F" w:rsidRPr="00054010" w:rsidRDefault="00AB4F0F" w:rsidP="00D87E53">
      <w:pPr>
        <w:pStyle w:val="Title"/>
        <w:numPr>
          <w:ilvl w:val="0"/>
          <w:numId w:val="20"/>
        </w:numPr>
        <w:spacing w:after="200" w:line="360" w:lineRule="auto"/>
        <w:contextualSpacing w:val="0"/>
        <w:jc w:val="both"/>
        <w:rPr>
          <w:rFonts w:ascii="Arial" w:hAnsi="Arial" w:cs="Arial"/>
          <w:sz w:val="20"/>
          <w:szCs w:val="20"/>
        </w:rPr>
      </w:pPr>
      <w:r w:rsidRPr="00054010">
        <w:rPr>
          <w:rFonts w:ascii="Arial" w:hAnsi="Arial" w:cs="Arial"/>
          <w:sz w:val="20"/>
          <w:szCs w:val="20"/>
        </w:rPr>
        <w:t xml:space="preserve">31-day </w:t>
      </w:r>
      <w:r w:rsidR="00D87E53" w:rsidRPr="00054010">
        <w:rPr>
          <w:rFonts w:ascii="Arial" w:hAnsi="Arial" w:cs="Arial"/>
          <w:sz w:val="20"/>
          <w:szCs w:val="20"/>
        </w:rPr>
        <w:t>DTT RTT</w:t>
      </w:r>
      <w:r w:rsidRPr="00054010">
        <w:rPr>
          <w:rFonts w:ascii="Arial" w:hAnsi="Arial" w:cs="Arial"/>
          <w:sz w:val="20"/>
          <w:szCs w:val="20"/>
        </w:rPr>
        <w:t xml:space="preserve"> treatment standard: commence treatment within 62 days of being referred (set at 85%)</w:t>
      </w:r>
    </w:p>
    <w:p w14:paraId="4B9A5F51" w14:textId="1C06C99B" w:rsidR="00D87E53" w:rsidRPr="00054010" w:rsidRDefault="00D87E53" w:rsidP="00D87E53">
      <w:pPr>
        <w:rPr>
          <w:rFonts w:ascii="Arial" w:hAnsi="Arial" w:cs="Arial"/>
          <w:sz w:val="20"/>
          <w:szCs w:val="20"/>
        </w:rPr>
      </w:pPr>
      <w:r w:rsidRPr="00054010">
        <w:rPr>
          <w:rFonts w:ascii="Arial" w:hAnsi="Arial" w:cs="Arial"/>
          <w:sz w:val="20"/>
          <w:szCs w:val="20"/>
        </w:rPr>
        <w:t>The 62 day RTT standard remains the primary target for delivery.</w:t>
      </w:r>
    </w:p>
    <w:p w14:paraId="510B0905" w14:textId="77777777" w:rsidR="00AB4F0F" w:rsidRPr="00054010" w:rsidRDefault="00AB4F0F" w:rsidP="00AB4F0F">
      <w:pPr>
        <w:spacing w:after="200" w:line="360" w:lineRule="auto"/>
        <w:jc w:val="both"/>
        <w:rPr>
          <w:rFonts w:ascii="Arial" w:hAnsi="Arial" w:cs="Arial"/>
          <w:sz w:val="20"/>
          <w:szCs w:val="20"/>
          <w:lang w:eastAsia="en-GB"/>
        </w:rPr>
      </w:pPr>
    </w:p>
    <w:p w14:paraId="4BEBA2F8" w14:textId="2F65EDDE" w:rsidR="00E14973" w:rsidRPr="00054010" w:rsidRDefault="00E14973" w:rsidP="00E14973"/>
    <w:p w14:paraId="0EE3B15B" w14:textId="76414C30" w:rsidR="00664F40" w:rsidRPr="00054010" w:rsidRDefault="00353FB3" w:rsidP="00353FB3">
      <w:pPr>
        <w:pStyle w:val="Heading3"/>
        <w:spacing w:before="0" w:after="200" w:line="360" w:lineRule="auto"/>
        <w:jc w:val="both"/>
        <w:rPr>
          <w:rFonts w:ascii="Arial" w:hAnsi="Arial" w:cs="Arial"/>
          <w:color w:val="0070C0"/>
          <w:sz w:val="24"/>
          <w:szCs w:val="24"/>
        </w:rPr>
      </w:pPr>
      <w:r w:rsidRPr="00054010">
        <w:rPr>
          <w:rFonts w:ascii="Arial" w:hAnsi="Arial" w:cs="Arial"/>
          <w:color w:val="0070C0"/>
          <w:sz w:val="24"/>
          <w:szCs w:val="24"/>
        </w:rPr>
        <w:t xml:space="preserve">1.1.2     </w:t>
      </w:r>
      <w:r w:rsidR="00664F40" w:rsidRPr="00054010">
        <w:rPr>
          <w:rFonts w:ascii="Arial" w:hAnsi="Arial" w:cs="Arial"/>
          <w:color w:val="0070C0"/>
          <w:sz w:val="24"/>
          <w:szCs w:val="24"/>
        </w:rPr>
        <w:t>Purpose</w:t>
      </w:r>
    </w:p>
    <w:p w14:paraId="5017AD93" w14:textId="60684835" w:rsidR="00664F40" w:rsidRPr="00054010" w:rsidRDefault="00664F40" w:rsidP="00033806">
      <w:pPr>
        <w:spacing w:after="200" w:line="360" w:lineRule="auto"/>
        <w:jc w:val="both"/>
        <w:rPr>
          <w:rFonts w:ascii="Arial" w:hAnsi="Arial" w:cs="Arial"/>
          <w:sz w:val="20"/>
          <w:szCs w:val="20"/>
        </w:rPr>
      </w:pPr>
      <w:r w:rsidRPr="00054010">
        <w:rPr>
          <w:rFonts w:ascii="Arial" w:hAnsi="Arial" w:cs="Arial"/>
          <w:sz w:val="20"/>
          <w:szCs w:val="20"/>
          <w:lang w:eastAsia="en-GB"/>
        </w:rPr>
        <w:br/>
      </w:r>
      <w:r w:rsidRPr="00054010">
        <w:rPr>
          <w:rFonts w:ascii="Arial" w:hAnsi="Arial" w:cs="Arial"/>
          <w:sz w:val="20"/>
          <w:szCs w:val="20"/>
        </w:rPr>
        <w:t xml:space="preserve">The purpose of this policy is to ensure all patients requiring access are managed equitably and consistently in line with national waiting time standards and the </w:t>
      </w:r>
      <w:hyperlink r:id="rId5" w:history="1">
        <w:r w:rsidRPr="00054010">
          <w:rPr>
            <w:rStyle w:val="Hyperlink"/>
            <w:rFonts w:ascii="Arial" w:hAnsi="Arial" w:cs="Arial"/>
            <w:sz w:val="20"/>
            <w:szCs w:val="20"/>
          </w:rPr>
          <w:t>NHS Constitution</w:t>
        </w:r>
      </w:hyperlink>
      <w:r w:rsidRPr="00054010">
        <w:rPr>
          <w:rFonts w:ascii="Arial" w:hAnsi="Arial" w:cs="Arial"/>
          <w:sz w:val="20"/>
          <w:szCs w:val="20"/>
        </w:rPr>
        <w:t xml:space="preserve">. </w:t>
      </w:r>
      <w:r w:rsidR="00D26916" w:rsidRPr="00054010">
        <w:rPr>
          <w:rFonts w:ascii="Arial" w:hAnsi="Arial" w:cs="Arial"/>
          <w:sz w:val="20"/>
          <w:szCs w:val="20"/>
        </w:rPr>
        <w:t xml:space="preserve"> </w:t>
      </w:r>
      <w:r w:rsidRPr="00054010">
        <w:rPr>
          <w:rFonts w:ascii="Arial" w:hAnsi="Arial" w:cs="Arial"/>
          <w:sz w:val="20"/>
          <w:szCs w:val="20"/>
        </w:rPr>
        <w:t>As set out in the NHS Constitution, patients have the right to start consultant-led treatment within maximum waiting times. The policies and procedures comprising this policy adhere to national best practice and provide a framework to ensure that patients are treated transparently, fairly and reasonably.</w:t>
      </w:r>
    </w:p>
    <w:p w14:paraId="0C3DABFF" w14:textId="4F45C35C" w:rsidR="00664F40" w:rsidRPr="00054010" w:rsidRDefault="00D26916" w:rsidP="00D26916">
      <w:pPr>
        <w:spacing w:after="200" w:line="360" w:lineRule="auto"/>
        <w:jc w:val="both"/>
        <w:rPr>
          <w:rFonts w:ascii="Arial" w:hAnsi="Arial" w:cs="Arial"/>
          <w:sz w:val="20"/>
          <w:szCs w:val="20"/>
        </w:rPr>
      </w:pPr>
      <w:r w:rsidRPr="00054010">
        <w:rPr>
          <w:rFonts w:ascii="Arial" w:hAnsi="Arial" w:cs="Arial"/>
          <w:sz w:val="20"/>
          <w:szCs w:val="20"/>
        </w:rPr>
        <w:lastRenderedPageBreak/>
        <w:t xml:space="preserve">This policy further describes the GM agreed approach to areas of the national CWT where ‘locally agreed policy’ is stipulated, or where there is perceived ambiguity.  </w:t>
      </w:r>
      <w:r w:rsidR="000B459A" w:rsidRPr="00054010">
        <w:rPr>
          <w:rFonts w:ascii="Arial" w:hAnsi="Arial" w:cs="Arial"/>
          <w:sz w:val="20"/>
          <w:szCs w:val="20"/>
        </w:rPr>
        <w:t xml:space="preserve"> The policy does not aim to repeat the detail of the CWT.</w:t>
      </w:r>
    </w:p>
    <w:p w14:paraId="370C6257" w14:textId="6DA7D322" w:rsidR="00664F40" w:rsidRPr="00054010" w:rsidRDefault="00664F40" w:rsidP="00033806">
      <w:pPr>
        <w:spacing w:after="200" w:line="360" w:lineRule="auto"/>
        <w:jc w:val="both"/>
        <w:rPr>
          <w:rFonts w:ascii="Arial" w:hAnsi="Arial" w:cs="Arial"/>
          <w:sz w:val="20"/>
          <w:szCs w:val="20"/>
        </w:rPr>
      </w:pPr>
      <w:r w:rsidRPr="00054010">
        <w:rPr>
          <w:rFonts w:ascii="Arial" w:hAnsi="Arial" w:cs="Arial"/>
          <w:sz w:val="20"/>
          <w:szCs w:val="20"/>
        </w:rPr>
        <w:t xml:space="preserve">This policy </w:t>
      </w:r>
      <w:r w:rsidR="00D26916" w:rsidRPr="00054010">
        <w:rPr>
          <w:rFonts w:ascii="Arial" w:hAnsi="Arial" w:cs="Arial"/>
          <w:sz w:val="20"/>
          <w:szCs w:val="20"/>
        </w:rPr>
        <w:t xml:space="preserve">should be made available to all </w:t>
      </w:r>
      <w:r w:rsidRPr="00054010">
        <w:rPr>
          <w:rFonts w:ascii="Arial" w:hAnsi="Arial" w:cs="Arial"/>
          <w:sz w:val="20"/>
          <w:szCs w:val="20"/>
        </w:rPr>
        <w:t>applicable staff</w:t>
      </w:r>
      <w:r w:rsidR="00D26916" w:rsidRPr="00054010">
        <w:rPr>
          <w:rFonts w:ascii="Arial" w:hAnsi="Arial" w:cs="Arial"/>
          <w:sz w:val="20"/>
          <w:szCs w:val="20"/>
        </w:rPr>
        <w:t>, alongside suitable training.</w:t>
      </w:r>
    </w:p>
    <w:p w14:paraId="11CB7D5D" w14:textId="77777777" w:rsidR="00353FB3" w:rsidRPr="00054010" w:rsidRDefault="00353FB3" w:rsidP="00033806">
      <w:pPr>
        <w:spacing w:after="200" w:line="360" w:lineRule="auto"/>
        <w:jc w:val="both"/>
        <w:rPr>
          <w:rFonts w:ascii="Arial" w:hAnsi="Arial" w:cs="Arial"/>
          <w:sz w:val="20"/>
          <w:szCs w:val="20"/>
        </w:rPr>
      </w:pPr>
    </w:p>
    <w:p w14:paraId="46728E46" w14:textId="6621B999" w:rsidR="00664F40" w:rsidRPr="00054010" w:rsidRDefault="00664F40" w:rsidP="00353FB3">
      <w:pPr>
        <w:pStyle w:val="Heading3"/>
        <w:numPr>
          <w:ilvl w:val="2"/>
          <w:numId w:val="25"/>
        </w:numPr>
        <w:spacing w:before="0" w:after="200" w:line="360" w:lineRule="auto"/>
        <w:jc w:val="both"/>
        <w:rPr>
          <w:rFonts w:ascii="Arial" w:hAnsi="Arial" w:cs="Arial"/>
          <w:color w:val="0070C0"/>
          <w:sz w:val="24"/>
          <w:szCs w:val="24"/>
        </w:rPr>
      </w:pPr>
      <w:r w:rsidRPr="00054010">
        <w:rPr>
          <w:rFonts w:ascii="Arial" w:hAnsi="Arial" w:cs="Arial"/>
          <w:color w:val="0070C0"/>
          <w:sz w:val="24"/>
          <w:szCs w:val="24"/>
        </w:rPr>
        <w:t>Scope</w:t>
      </w:r>
    </w:p>
    <w:p w14:paraId="6DB100BE" w14:textId="345A857D" w:rsidR="00353FB3" w:rsidRPr="00054010" w:rsidRDefault="00664F40" w:rsidP="00353FB3">
      <w:pPr>
        <w:spacing w:after="200" w:line="360" w:lineRule="auto"/>
        <w:jc w:val="both"/>
        <w:rPr>
          <w:rFonts w:ascii="Arial" w:hAnsi="Arial" w:cs="Arial"/>
          <w:sz w:val="20"/>
          <w:szCs w:val="20"/>
          <w:lang w:eastAsia="en-GB"/>
        </w:rPr>
      </w:pPr>
      <w:r w:rsidRPr="00054010">
        <w:rPr>
          <w:rFonts w:ascii="Arial" w:hAnsi="Arial" w:cs="Arial"/>
          <w:sz w:val="20"/>
          <w:szCs w:val="20"/>
          <w:lang w:eastAsia="en-GB"/>
        </w:rPr>
        <w:t xml:space="preserve">This policy applies to </w:t>
      </w:r>
      <w:r w:rsidR="00787A1C" w:rsidRPr="00054010">
        <w:rPr>
          <w:rFonts w:ascii="Arial" w:hAnsi="Arial" w:cs="Arial"/>
          <w:sz w:val="20"/>
          <w:szCs w:val="20"/>
          <w:lang w:eastAsia="en-GB"/>
        </w:rPr>
        <w:t>all patients referred on a suspected cancer pathway</w:t>
      </w:r>
      <w:r w:rsidR="00C526F2" w:rsidRPr="00054010">
        <w:rPr>
          <w:rFonts w:ascii="Arial" w:hAnsi="Arial" w:cs="Arial"/>
          <w:sz w:val="20"/>
          <w:szCs w:val="20"/>
          <w:lang w:eastAsia="en-GB"/>
        </w:rPr>
        <w:t xml:space="preserve"> referred via a GMP / GDP / </w:t>
      </w:r>
      <w:r w:rsidR="00054010" w:rsidRPr="00054010">
        <w:rPr>
          <w:rFonts w:ascii="Arial" w:hAnsi="Arial" w:cs="Arial"/>
          <w:sz w:val="20"/>
          <w:szCs w:val="20"/>
          <w:lang w:eastAsia="en-GB"/>
        </w:rPr>
        <w:t>Optometrist</w:t>
      </w:r>
      <w:r w:rsidR="00787A1C" w:rsidRPr="00054010">
        <w:rPr>
          <w:rFonts w:ascii="Arial" w:hAnsi="Arial" w:cs="Arial"/>
          <w:sz w:val="20"/>
          <w:szCs w:val="20"/>
          <w:lang w:eastAsia="en-GB"/>
        </w:rPr>
        <w:t xml:space="preserve">, breast symptomatic pathway, </w:t>
      </w:r>
      <w:r w:rsidR="00C526F2" w:rsidRPr="00054010">
        <w:rPr>
          <w:rFonts w:ascii="Arial" w:hAnsi="Arial" w:cs="Arial"/>
          <w:sz w:val="20"/>
          <w:szCs w:val="20"/>
          <w:lang w:eastAsia="en-GB"/>
        </w:rPr>
        <w:t>via a nation</w:t>
      </w:r>
      <w:r w:rsidR="003B5703" w:rsidRPr="00054010">
        <w:rPr>
          <w:rFonts w:ascii="Arial" w:hAnsi="Arial" w:cs="Arial"/>
          <w:sz w:val="20"/>
          <w:szCs w:val="20"/>
          <w:lang w:eastAsia="en-GB"/>
        </w:rPr>
        <w:t>a</w:t>
      </w:r>
      <w:r w:rsidR="00C526F2" w:rsidRPr="00054010">
        <w:rPr>
          <w:rFonts w:ascii="Arial" w:hAnsi="Arial" w:cs="Arial"/>
          <w:sz w:val="20"/>
          <w:szCs w:val="20"/>
          <w:lang w:eastAsia="en-GB"/>
        </w:rPr>
        <w:t xml:space="preserve">l screening programme </w:t>
      </w:r>
      <w:r w:rsidR="00787A1C" w:rsidRPr="00054010">
        <w:rPr>
          <w:rFonts w:ascii="Arial" w:hAnsi="Arial" w:cs="Arial"/>
          <w:sz w:val="20"/>
          <w:szCs w:val="20"/>
          <w:lang w:eastAsia="en-GB"/>
        </w:rPr>
        <w:t xml:space="preserve">and patients added on to a suspected cancer pathway </w:t>
      </w:r>
      <w:r w:rsidR="003B5703" w:rsidRPr="00054010">
        <w:rPr>
          <w:rFonts w:ascii="Arial" w:hAnsi="Arial" w:cs="Arial"/>
          <w:sz w:val="20"/>
          <w:szCs w:val="20"/>
          <w:lang w:eastAsia="en-GB"/>
        </w:rPr>
        <w:t xml:space="preserve">by way of a consultant upgrade </w:t>
      </w:r>
      <w:r w:rsidR="00787A1C" w:rsidRPr="00054010">
        <w:rPr>
          <w:rFonts w:ascii="Arial" w:hAnsi="Arial" w:cs="Arial"/>
          <w:sz w:val="20"/>
          <w:szCs w:val="20"/>
          <w:lang w:eastAsia="en-GB"/>
        </w:rPr>
        <w:t>based on clinical suspicion</w:t>
      </w:r>
      <w:r w:rsidR="00C526F2" w:rsidRPr="00054010">
        <w:rPr>
          <w:rFonts w:ascii="Arial" w:hAnsi="Arial" w:cs="Arial"/>
          <w:sz w:val="20"/>
          <w:szCs w:val="20"/>
          <w:lang w:eastAsia="en-GB"/>
        </w:rPr>
        <w:t xml:space="preserve"> of a new cancer</w:t>
      </w:r>
      <w:r w:rsidR="00787A1C" w:rsidRPr="00054010">
        <w:rPr>
          <w:rFonts w:ascii="Arial" w:hAnsi="Arial" w:cs="Arial"/>
          <w:sz w:val="20"/>
          <w:szCs w:val="20"/>
          <w:lang w:eastAsia="en-GB"/>
        </w:rPr>
        <w:t>, cancer recurrence or disease progression</w:t>
      </w:r>
      <w:r w:rsidR="003B5703" w:rsidRPr="00054010">
        <w:rPr>
          <w:rFonts w:ascii="Arial" w:hAnsi="Arial" w:cs="Arial"/>
          <w:sz w:val="20"/>
          <w:szCs w:val="20"/>
          <w:lang w:eastAsia="en-GB"/>
        </w:rPr>
        <w:t>.</w:t>
      </w:r>
    </w:p>
    <w:p w14:paraId="699A8B57" w14:textId="77777777" w:rsidR="00353FB3" w:rsidRPr="00054010" w:rsidRDefault="00353FB3" w:rsidP="00353FB3">
      <w:pPr>
        <w:spacing w:after="200" w:line="360" w:lineRule="auto"/>
        <w:jc w:val="both"/>
        <w:rPr>
          <w:rFonts w:ascii="Arial" w:hAnsi="Arial" w:cs="Arial"/>
          <w:sz w:val="20"/>
          <w:szCs w:val="20"/>
          <w:lang w:eastAsia="en-GB"/>
        </w:rPr>
      </w:pPr>
    </w:p>
    <w:p w14:paraId="49951AAE" w14:textId="3D758594" w:rsidR="00664F40" w:rsidRPr="00054010" w:rsidRDefault="00353FB3" w:rsidP="00353FB3">
      <w:pPr>
        <w:spacing w:after="200" w:line="360" w:lineRule="auto"/>
        <w:jc w:val="both"/>
        <w:rPr>
          <w:rFonts w:ascii="Arial" w:hAnsi="Arial" w:cs="Arial"/>
          <w:color w:val="0070C0"/>
          <w:sz w:val="24"/>
          <w:szCs w:val="24"/>
          <w:lang w:eastAsia="en-GB"/>
        </w:rPr>
      </w:pPr>
      <w:r w:rsidRPr="00054010">
        <w:rPr>
          <w:rFonts w:ascii="Arial" w:hAnsi="Arial" w:cs="Arial"/>
          <w:color w:val="0070C0"/>
          <w:sz w:val="24"/>
          <w:szCs w:val="24"/>
          <w:lang w:eastAsia="en-GB"/>
        </w:rPr>
        <w:t xml:space="preserve">1.1.4     </w:t>
      </w:r>
      <w:r w:rsidR="00664F40" w:rsidRPr="00054010">
        <w:rPr>
          <w:rFonts w:ascii="Arial" w:hAnsi="Arial" w:cs="Arial"/>
          <w:color w:val="0070C0"/>
          <w:sz w:val="24"/>
          <w:szCs w:val="24"/>
        </w:rPr>
        <w:t>Accountability and Governance</w:t>
      </w:r>
    </w:p>
    <w:p w14:paraId="015933BE" w14:textId="6F3FA6B0" w:rsidR="00664F40" w:rsidRPr="00054010" w:rsidRDefault="00C526F2" w:rsidP="00787A1C">
      <w:pPr>
        <w:spacing w:after="200" w:line="360" w:lineRule="auto"/>
        <w:ind w:right="228"/>
        <w:jc w:val="both"/>
        <w:rPr>
          <w:rFonts w:ascii="Arial" w:hAnsi="Arial" w:cs="Arial"/>
          <w:color w:val="000000" w:themeColor="text1"/>
          <w:sz w:val="20"/>
          <w:szCs w:val="20"/>
          <w:lang w:eastAsia="en-GB"/>
        </w:rPr>
      </w:pPr>
      <w:r w:rsidRPr="00054010">
        <w:rPr>
          <w:rFonts w:ascii="Arial" w:hAnsi="Arial" w:cs="Arial"/>
          <w:color w:val="000000" w:themeColor="text1"/>
          <w:sz w:val="20"/>
          <w:szCs w:val="20"/>
          <w:lang w:eastAsia="en-GB"/>
        </w:rPr>
        <w:t>Each</w:t>
      </w:r>
      <w:r w:rsidR="00664F40" w:rsidRPr="00054010">
        <w:rPr>
          <w:rFonts w:ascii="Arial" w:hAnsi="Arial" w:cs="Arial"/>
          <w:color w:val="000000" w:themeColor="text1"/>
          <w:sz w:val="20"/>
          <w:szCs w:val="20"/>
          <w:lang w:eastAsia="en-GB"/>
        </w:rPr>
        <w:t xml:space="preserve"> individual GM Trust Board</w:t>
      </w:r>
      <w:r w:rsidRPr="00054010">
        <w:rPr>
          <w:rFonts w:ascii="Arial" w:hAnsi="Arial" w:cs="Arial"/>
          <w:color w:val="000000" w:themeColor="text1"/>
          <w:sz w:val="20"/>
          <w:szCs w:val="20"/>
          <w:lang w:eastAsia="en-GB"/>
        </w:rPr>
        <w:t xml:space="preserve"> is accountable for adherence to this policy</w:t>
      </w:r>
      <w:r w:rsidR="00664F40" w:rsidRPr="00054010">
        <w:rPr>
          <w:rFonts w:ascii="Arial" w:hAnsi="Arial" w:cs="Arial"/>
          <w:color w:val="000000" w:themeColor="text1"/>
          <w:sz w:val="20"/>
          <w:szCs w:val="20"/>
          <w:lang w:eastAsia="en-GB"/>
        </w:rPr>
        <w:t>, with delegated authority to the relevant committee for oversight</w:t>
      </w:r>
      <w:r w:rsidR="00787A1C" w:rsidRPr="00054010">
        <w:rPr>
          <w:rFonts w:ascii="Arial" w:hAnsi="Arial" w:cs="Arial"/>
          <w:color w:val="000000" w:themeColor="text1"/>
          <w:sz w:val="20"/>
          <w:szCs w:val="20"/>
          <w:lang w:eastAsia="en-GB"/>
        </w:rPr>
        <w:t xml:space="preserve">.  </w:t>
      </w:r>
    </w:p>
    <w:p w14:paraId="57AC989C" w14:textId="72EC04B8" w:rsidR="00787A1C" w:rsidRPr="00054010" w:rsidRDefault="00787A1C" w:rsidP="00787A1C">
      <w:pPr>
        <w:spacing w:after="200" w:line="360" w:lineRule="auto"/>
        <w:ind w:right="228"/>
        <w:jc w:val="both"/>
        <w:rPr>
          <w:rFonts w:ascii="Arial" w:hAnsi="Arial" w:cs="Arial"/>
          <w:color w:val="000000" w:themeColor="text1"/>
          <w:sz w:val="20"/>
          <w:szCs w:val="20"/>
          <w:lang w:eastAsia="en-GB"/>
        </w:rPr>
      </w:pPr>
      <w:r w:rsidRPr="00054010">
        <w:rPr>
          <w:rFonts w:ascii="Arial" w:hAnsi="Arial" w:cs="Arial"/>
          <w:color w:val="000000" w:themeColor="text1"/>
          <w:sz w:val="20"/>
          <w:szCs w:val="20"/>
          <w:lang w:eastAsia="en-GB"/>
        </w:rPr>
        <w:t>The GM Cancer Board, with delegated authority to the GM Cancer Alliance are responsible for ensuring this policy adheres to national cancer requirements.</w:t>
      </w:r>
    </w:p>
    <w:p w14:paraId="74ECA896" w14:textId="77777777" w:rsidR="00AB4F0F" w:rsidRPr="00054010" w:rsidRDefault="00AB4F0F" w:rsidP="00787A1C">
      <w:pPr>
        <w:spacing w:after="200" w:line="360" w:lineRule="auto"/>
        <w:ind w:right="228"/>
        <w:jc w:val="both"/>
        <w:rPr>
          <w:rFonts w:ascii="Arial" w:hAnsi="Arial" w:cs="Arial"/>
          <w:color w:val="000000" w:themeColor="text1"/>
          <w:sz w:val="20"/>
          <w:szCs w:val="20"/>
          <w:lang w:eastAsia="en-GB"/>
        </w:rPr>
      </w:pPr>
    </w:p>
    <w:p w14:paraId="0A5E9D6C" w14:textId="341833CD" w:rsidR="00664F40" w:rsidRPr="00054010" w:rsidRDefault="00664F40" w:rsidP="00353FB3">
      <w:pPr>
        <w:pStyle w:val="Heading3"/>
        <w:numPr>
          <w:ilvl w:val="2"/>
          <w:numId w:val="26"/>
        </w:numPr>
        <w:spacing w:before="0" w:after="200" w:line="360" w:lineRule="auto"/>
        <w:jc w:val="both"/>
        <w:rPr>
          <w:rFonts w:ascii="Arial" w:hAnsi="Arial" w:cs="Arial"/>
          <w:color w:val="0070C0"/>
          <w:sz w:val="24"/>
          <w:szCs w:val="24"/>
        </w:rPr>
      </w:pPr>
      <w:r w:rsidRPr="00054010">
        <w:rPr>
          <w:rFonts w:ascii="Arial" w:hAnsi="Arial" w:cs="Arial"/>
          <w:color w:val="0070C0"/>
          <w:sz w:val="24"/>
          <w:szCs w:val="24"/>
        </w:rPr>
        <w:t>Roles and responsibilities</w:t>
      </w:r>
    </w:p>
    <w:p w14:paraId="6AC9E2A4" w14:textId="32FA20F3" w:rsidR="00664F40" w:rsidRPr="00054010" w:rsidRDefault="00664F40" w:rsidP="00033806">
      <w:pPr>
        <w:spacing w:after="200" w:line="360" w:lineRule="auto"/>
        <w:jc w:val="both"/>
        <w:rPr>
          <w:rFonts w:ascii="Arial" w:hAnsi="Arial" w:cs="Arial"/>
          <w:sz w:val="20"/>
          <w:szCs w:val="20"/>
        </w:rPr>
      </w:pPr>
      <w:r w:rsidRPr="00054010">
        <w:rPr>
          <w:rFonts w:ascii="Arial" w:hAnsi="Arial" w:cs="Arial"/>
          <w:sz w:val="20"/>
          <w:szCs w:val="20"/>
        </w:rPr>
        <w:t xml:space="preserve">All staff have a responsibility for ensuring that the principles outlined within this document are consistently applied. This policy applies to all members of staff who are involved in any </w:t>
      </w:r>
      <w:r w:rsidR="00787A1C" w:rsidRPr="00054010">
        <w:rPr>
          <w:rFonts w:ascii="Arial" w:hAnsi="Arial" w:cs="Arial"/>
          <w:sz w:val="20"/>
          <w:szCs w:val="20"/>
        </w:rPr>
        <w:t xml:space="preserve">aspect of </w:t>
      </w:r>
      <w:r w:rsidR="00BF42B8" w:rsidRPr="00054010">
        <w:rPr>
          <w:rFonts w:ascii="Arial" w:hAnsi="Arial" w:cs="Arial"/>
          <w:sz w:val="20"/>
          <w:szCs w:val="20"/>
        </w:rPr>
        <w:t>delivering or reporting on cancer pathways</w:t>
      </w:r>
      <w:r w:rsidR="00787A1C" w:rsidRPr="00054010">
        <w:rPr>
          <w:rFonts w:ascii="Arial" w:hAnsi="Arial" w:cs="Arial"/>
          <w:sz w:val="20"/>
          <w:szCs w:val="20"/>
        </w:rPr>
        <w:t>.  In addition to the generic responsibilities</w:t>
      </w:r>
      <w:r w:rsidR="00D87E53" w:rsidRPr="00054010">
        <w:rPr>
          <w:rFonts w:ascii="Arial" w:hAnsi="Arial" w:cs="Arial"/>
          <w:sz w:val="20"/>
          <w:szCs w:val="20"/>
        </w:rPr>
        <w:t xml:space="preserve"> in the wider policy</w:t>
      </w:r>
      <w:r w:rsidR="00787A1C" w:rsidRPr="00054010">
        <w:rPr>
          <w:rFonts w:ascii="Arial" w:hAnsi="Arial" w:cs="Arial"/>
          <w:sz w:val="20"/>
          <w:szCs w:val="20"/>
        </w:rPr>
        <w:t>, the following are applicable to the management of cancer pathways.</w:t>
      </w:r>
    </w:p>
    <w:tbl>
      <w:tblPr>
        <w:tblW w:w="10441" w:type="dxa"/>
        <w:tblInd w:w="-108"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ayout w:type="fixed"/>
        <w:tblLook w:val="0000" w:firstRow="0" w:lastRow="0" w:firstColumn="0" w:lastColumn="0" w:noHBand="0" w:noVBand="0"/>
      </w:tblPr>
      <w:tblGrid>
        <w:gridCol w:w="2230"/>
        <w:gridCol w:w="8211"/>
      </w:tblGrid>
      <w:tr w:rsidR="00664F40" w:rsidRPr="00054010" w14:paraId="6C37FD7D" w14:textId="77777777" w:rsidTr="003024D9">
        <w:trPr>
          <w:trHeight w:val="231"/>
        </w:trPr>
        <w:tc>
          <w:tcPr>
            <w:tcW w:w="2230" w:type="dxa"/>
          </w:tcPr>
          <w:p w14:paraId="5E08A670" w14:textId="3EE09379" w:rsidR="00664F40" w:rsidRPr="00054010" w:rsidRDefault="00664F40" w:rsidP="00BF42B8">
            <w:pPr>
              <w:autoSpaceDE w:val="0"/>
              <w:autoSpaceDN w:val="0"/>
              <w:adjustRightInd w:val="0"/>
              <w:spacing w:after="200" w:line="360" w:lineRule="auto"/>
              <w:rPr>
                <w:rFonts w:ascii="Arial" w:hAnsi="Arial" w:cs="Arial"/>
                <w:b/>
                <w:bCs/>
                <w:color w:val="0070C0"/>
                <w:sz w:val="20"/>
                <w:szCs w:val="20"/>
                <w:lang w:eastAsia="en-GB"/>
              </w:rPr>
            </w:pPr>
            <w:r w:rsidRPr="00054010">
              <w:rPr>
                <w:rFonts w:ascii="Arial" w:hAnsi="Arial" w:cs="Arial"/>
                <w:b/>
                <w:bCs/>
                <w:color w:val="0070C0"/>
                <w:sz w:val="20"/>
                <w:szCs w:val="20"/>
                <w:lang w:eastAsia="en-GB"/>
              </w:rPr>
              <w:t>Chief Delivery Officer</w:t>
            </w:r>
            <w:r w:rsidR="00BF42B8" w:rsidRPr="00054010">
              <w:rPr>
                <w:rFonts w:ascii="Arial" w:hAnsi="Arial" w:cs="Arial"/>
                <w:b/>
                <w:bCs/>
                <w:color w:val="0070C0"/>
                <w:sz w:val="20"/>
                <w:szCs w:val="20"/>
                <w:lang w:eastAsia="en-GB"/>
              </w:rPr>
              <w:t>/ Chief Operating Officer</w:t>
            </w:r>
          </w:p>
        </w:tc>
        <w:tc>
          <w:tcPr>
            <w:tcW w:w="8211" w:type="dxa"/>
          </w:tcPr>
          <w:p w14:paraId="3C8FA2E2" w14:textId="50B18E42" w:rsidR="00664F40" w:rsidRPr="00054010" w:rsidRDefault="00BF42B8" w:rsidP="00033806">
            <w:pPr>
              <w:autoSpaceDE w:val="0"/>
              <w:autoSpaceDN w:val="0"/>
              <w:adjustRightInd w:val="0"/>
              <w:spacing w:after="200" w:line="360" w:lineRule="auto"/>
              <w:jc w:val="both"/>
              <w:rPr>
                <w:rFonts w:ascii="Arial" w:hAnsi="Arial" w:cs="Arial"/>
                <w:color w:val="000000" w:themeColor="text1"/>
                <w:sz w:val="20"/>
                <w:szCs w:val="20"/>
                <w:lang w:eastAsia="en-GB"/>
              </w:rPr>
            </w:pPr>
            <w:r w:rsidRPr="00054010">
              <w:rPr>
                <w:rFonts w:ascii="Arial" w:hAnsi="Arial" w:cs="Arial"/>
                <w:color w:val="000000" w:themeColor="text1"/>
                <w:sz w:val="20"/>
                <w:szCs w:val="20"/>
                <w:lang w:eastAsia="en-GB"/>
              </w:rPr>
              <w:t xml:space="preserve">Effective monitoring and </w:t>
            </w:r>
            <w:r w:rsidR="00054010" w:rsidRPr="00054010">
              <w:rPr>
                <w:rFonts w:ascii="Arial" w:hAnsi="Arial" w:cs="Arial"/>
                <w:color w:val="000000" w:themeColor="text1"/>
                <w:sz w:val="20"/>
                <w:szCs w:val="20"/>
                <w:lang w:eastAsia="en-GB"/>
              </w:rPr>
              <w:t>adherence</w:t>
            </w:r>
            <w:r w:rsidRPr="00054010">
              <w:rPr>
                <w:rFonts w:ascii="Arial" w:hAnsi="Arial" w:cs="Arial"/>
                <w:color w:val="000000" w:themeColor="text1"/>
                <w:sz w:val="20"/>
                <w:szCs w:val="20"/>
                <w:lang w:eastAsia="en-GB"/>
              </w:rPr>
              <w:t xml:space="preserve"> with the associated IPT policy and national CWT guidance</w:t>
            </w:r>
            <w:r w:rsidR="004C6375" w:rsidRPr="00054010">
              <w:rPr>
                <w:rFonts w:ascii="Arial" w:hAnsi="Arial" w:cs="Arial"/>
                <w:color w:val="000000" w:themeColor="text1"/>
                <w:sz w:val="20"/>
                <w:szCs w:val="20"/>
                <w:lang w:eastAsia="en-GB"/>
              </w:rPr>
              <w:t>.</w:t>
            </w:r>
          </w:p>
          <w:p w14:paraId="07BC6082" w14:textId="55BB66AB" w:rsidR="001317CD" w:rsidRPr="00054010" w:rsidRDefault="001317CD" w:rsidP="00033806">
            <w:pPr>
              <w:autoSpaceDE w:val="0"/>
              <w:autoSpaceDN w:val="0"/>
              <w:adjustRightInd w:val="0"/>
              <w:spacing w:after="200" w:line="360" w:lineRule="auto"/>
              <w:jc w:val="both"/>
              <w:rPr>
                <w:rFonts w:ascii="Arial" w:hAnsi="Arial" w:cs="Arial"/>
                <w:color w:val="000000" w:themeColor="text1"/>
                <w:sz w:val="20"/>
                <w:szCs w:val="20"/>
                <w:lang w:eastAsia="en-GB"/>
              </w:rPr>
            </w:pPr>
            <w:r w:rsidRPr="00054010">
              <w:rPr>
                <w:rFonts w:ascii="Arial" w:hAnsi="Arial" w:cs="Arial"/>
                <w:color w:val="000000" w:themeColor="text1"/>
                <w:sz w:val="20"/>
                <w:szCs w:val="20"/>
                <w:lang w:eastAsia="en-GB"/>
              </w:rPr>
              <w:t xml:space="preserve">To ensure </w:t>
            </w:r>
            <w:r w:rsidR="00054010" w:rsidRPr="00054010">
              <w:rPr>
                <w:rFonts w:ascii="Arial" w:hAnsi="Arial" w:cs="Arial"/>
                <w:color w:val="000000" w:themeColor="text1"/>
                <w:sz w:val="20"/>
                <w:szCs w:val="20"/>
                <w:lang w:eastAsia="en-GB"/>
              </w:rPr>
              <w:t>appropriate</w:t>
            </w:r>
            <w:r w:rsidRPr="00054010">
              <w:rPr>
                <w:rFonts w:ascii="Arial" w:hAnsi="Arial" w:cs="Arial"/>
                <w:color w:val="000000" w:themeColor="text1"/>
                <w:sz w:val="20"/>
                <w:szCs w:val="20"/>
                <w:lang w:eastAsia="en-GB"/>
              </w:rPr>
              <w:t xml:space="preserve"> PTL meetings are in place to facilitate patient being manged through their pathways in line with the CWT requirements.</w:t>
            </w:r>
          </w:p>
          <w:p w14:paraId="39BDF3EE" w14:textId="459AB8FE" w:rsidR="007029E4" w:rsidRPr="00054010" w:rsidRDefault="007029E4" w:rsidP="00033806">
            <w:pPr>
              <w:autoSpaceDE w:val="0"/>
              <w:autoSpaceDN w:val="0"/>
              <w:adjustRightInd w:val="0"/>
              <w:spacing w:after="200" w:line="360" w:lineRule="auto"/>
              <w:jc w:val="both"/>
              <w:rPr>
                <w:rFonts w:ascii="Arial" w:hAnsi="Arial" w:cs="Arial"/>
                <w:color w:val="000000" w:themeColor="text1"/>
                <w:sz w:val="20"/>
                <w:szCs w:val="20"/>
                <w:lang w:eastAsia="en-GB"/>
              </w:rPr>
            </w:pPr>
            <w:r w:rsidRPr="00054010">
              <w:rPr>
                <w:rFonts w:ascii="Arial" w:hAnsi="Arial" w:cs="Arial"/>
                <w:color w:val="000000" w:themeColor="text1"/>
                <w:sz w:val="20"/>
                <w:szCs w:val="20"/>
                <w:lang w:eastAsia="en-GB"/>
              </w:rPr>
              <w:t>To ensure robust SOP and operational policies are in place to deliver cancer pathways within 62 days.</w:t>
            </w:r>
          </w:p>
          <w:p w14:paraId="3325E9A4" w14:textId="6B135582" w:rsidR="007029E4" w:rsidRPr="00054010" w:rsidRDefault="007029E4" w:rsidP="00033806">
            <w:pPr>
              <w:autoSpaceDE w:val="0"/>
              <w:autoSpaceDN w:val="0"/>
              <w:adjustRightInd w:val="0"/>
              <w:spacing w:after="200" w:line="360" w:lineRule="auto"/>
              <w:jc w:val="both"/>
              <w:rPr>
                <w:rFonts w:ascii="Arial" w:hAnsi="Arial" w:cs="Arial"/>
                <w:color w:val="000000" w:themeColor="text1"/>
                <w:sz w:val="20"/>
                <w:szCs w:val="20"/>
                <w:lang w:eastAsia="en-GB"/>
              </w:rPr>
            </w:pPr>
            <w:r w:rsidRPr="00054010">
              <w:rPr>
                <w:rFonts w:ascii="Arial" w:hAnsi="Arial" w:cs="Arial"/>
                <w:color w:val="000000" w:themeColor="text1"/>
                <w:sz w:val="20"/>
                <w:szCs w:val="20"/>
                <w:lang w:eastAsia="en-GB"/>
              </w:rPr>
              <w:t>To</w:t>
            </w:r>
            <w:r w:rsidR="001317CD" w:rsidRPr="00054010">
              <w:rPr>
                <w:rFonts w:ascii="Arial" w:hAnsi="Arial" w:cs="Arial"/>
                <w:color w:val="000000" w:themeColor="text1"/>
                <w:sz w:val="20"/>
                <w:szCs w:val="20"/>
                <w:lang w:eastAsia="en-GB"/>
              </w:rPr>
              <w:t xml:space="preserve"> establish and maintain a fully functional Trust Cancer Board including locality representation.</w:t>
            </w:r>
          </w:p>
          <w:p w14:paraId="0CE5F015" w14:textId="691E5401" w:rsidR="004C6375" w:rsidRPr="00054010" w:rsidRDefault="004C6375" w:rsidP="00033806">
            <w:p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themeColor="text1"/>
                <w:sz w:val="20"/>
                <w:szCs w:val="20"/>
                <w:lang w:eastAsia="en-GB"/>
              </w:rPr>
              <w:lastRenderedPageBreak/>
              <w:t>To consult with GM Cancer Alliance on any proposed changes to cancer pathway flows in Greater Manchester.</w:t>
            </w:r>
          </w:p>
        </w:tc>
      </w:tr>
      <w:tr w:rsidR="00664F40" w:rsidRPr="00054010" w14:paraId="0071D193" w14:textId="77777777" w:rsidTr="003024D9">
        <w:trPr>
          <w:trHeight w:val="231"/>
        </w:trPr>
        <w:tc>
          <w:tcPr>
            <w:tcW w:w="2230" w:type="dxa"/>
          </w:tcPr>
          <w:p w14:paraId="3B049687" w14:textId="77777777" w:rsidR="00664F40" w:rsidRPr="00054010" w:rsidRDefault="00664F40" w:rsidP="00BF42B8">
            <w:pPr>
              <w:autoSpaceDE w:val="0"/>
              <w:autoSpaceDN w:val="0"/>
              <w:adjustRightInd w:val="0"/>
              <w:spacing w:after="200" w:line="360" w:lineRule="auto"/>
              <w:rPr>
                <w:rFonts w:ascii="Arial" w:hAnsi="Arial" w:cs="Arial"/>
                <w:b/>
                <w:bCs/>
                <w:color w:val="0070C0"/>
                <w:sz w:val="20"/>
                <w:szCs w:val="20"/>
                <w:lang w:eastAsia="en-GB"/>
              </w:rPr>
            </w:pPr>
            <w:r w:rsidRPr="00054010">
              <w:rPr>
                <w:rFonts w:ascii="Arial" w:hAnsi="Arial" w:cs="Arial"/>
                <w:b/>
                <w:bCs/>
                <w:color w:val="0070C0"/>
                <w:sz w:val="20"/>
                <w:szCs w:val="20"/>
                <w:lang w:eastAsia="en-GB"/>
              </w:rPr>
              <w:lastRenderedPageBreak/>
              <w:t>Chief Digital Information Officer</w:t>
            </w:r>
          </w:p>
        </w:tc>
        <w:tc>
          <w:tcPr>
            <w:tcW w:w="8211" w:type="dxa"/>
          </w:tcPr>
          <w:p w14:paraId="3A0F8519" w14:textId="7652CED7" w:rsidR="00664F40" w:rsidRPr="00054010" w:rsidRDefault="00787A1C" w:rsidP="00033806">
            <w:p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themeColor="text1"/>
                <w:sz w:val="20"/>
                <w:szCs w:val="20"/>
                <w:lang w:eastAsia="en-GB"/>
              </w:rPr>
              <w:t xml:space="preserve">Ensures compliance with </w:t>
            </w:r>
            <w:r w:rsidR="00054010" w:rsidRPr="00054010">
              <w:rPr>
                <w:rFonts w:ascii="Arial" w:hAnsi="Arial" w:cs="Arial"/>
                <w:color w:val="000000" w:themeColor="text1"/>
                <w:sz w:val="20"/>
                <w:szCs w:val="20"/>
                <w:lang w:eastAsia="en-GB"/>
              </w:rPr>
              <w:t>mandated</w:t>
            </w:r>
            <w:r w:rsidRPr="00054010">
              <w:rPr>
                <w:rFonts w:ascii="Arial" w:hAnsi="Arial" w:cs="Arial"/>
                <w:color w:val="000000" w:themeColor="text1"/>
                <w:sz w:val="20"/>
                <w:szCs w:val="20"/>
                <w:lang w:eastAsia="en-GB"/>
              </w:rPr>
              <w:t xml:space="preserve"> data submissions including but not limited to cancer waiting times, COSD, MINCAN, national and local audit.  </w:t>
            </w:r>
          </w:p>
        </w:tc>
      </w:tr>
      <w:tr w:rsidR="00664F40" w:rsidRPr="00054010" w14:paraId="04C966D1" w14:textId="77777777" w:rsidTr="003024D9">
        <w:trPr>
          <w:trHeight w:val="231"/>
        </w:trPr>
        <w:tc>
          <w:tcPr>
            <w:tcW w:w="2230" w:type="dxa"/>
          </w:tcPr>
          <w:p w14:paraId="29819E70" w14:textId="06D125A7" w:rsidR="00664F40" w:rsidRPr="00054010" w:rsidRDefault="00664F40" w:rsidP="00BF42B8">
            <w:pPr>
              <w:autoSpaceDE w:val="0"/>
              <w:autoSpaceDN w:val="0"/>
              <w:adjustRightInd w:val="0"/>
              <w:spacing w:after="200" w:line="360" w:lineRule="auto"/>
              <w:rPr>
                <w:rFonts w:ascii="Arial" w:hAnsi="Arial" w:cs="Arial"/>
                <w:b/>
                <w:bCs/>
                <w:color w:val="0070C0"/>
                <w:sz w:val="20"/>
                <w:szCs w:val="20"/>
                <w:lang w:eastAsia="en-GB"/>
              </w:rPr>
            </w:pPr>
            <w:r w:rsidRPr="00054010">
              <w:rPr>
                <w:rFonts w:ascii="Arial" w:hAnsi="Arial" w:cs="Arial"/>
                <w:b/>
                <w:bCs/>
                <w:color w:val="0070C0"/>
                <w:sz w:val="20"/>
                <w:szCs w:val="20"/>
                <w:lang w:eastAsia="en-GB"/>
              </w:rPr>
              <w:t>Trust/</w:t>
            </w:r>
            <w:r w:rsidR="00BF42B8" w:rsidRPr="00054010">
              <w:rPr>
                <w:rFonts w:ascii="Arial" w:hAnsi="Arial" w:cs="Arial"/>
                <w:b/>
                <w:bCs/>
                <w:color w:val="0070C0"/>
                <w:sz w:val="20"/>
                <w:szCs w:val="20"/>
                <w:lang w:eastAsia="en-GB"/>
              </w:rPr>
              <w:t>Divisional</w:t>
            </w:r>
            <w:r w:rsidRPr="00054010">
              <w:rPr>
                <w:rFonts w:ascii="Arial" w:hAnsi="Arial" w:cs="Arial"/>
                <w:b/>
                <w:bCs/>
                <w:color w:val="0070C0"/>
                <w:sz w:val="20"/>
                <w:szCs w:val="20"/>
                <w:lang w:eastAsia="en-GB"/>
              </w:rPr>
              <w:t xml:space="preserve"> Medical Director(s)</w:t>
            </w:r>
            <w:r w:rsidR="001317CD" w:rsidRPr="00054010">
              <w:rPr>
                <w:rFonts w:ascii="Arial" w:hAnsi="Arial" w:cs="Arial"/>
                <w:b/>
                <w:bCs/>
                <w:color w:val="0070C0"/>
                <w:sz w:val="20"/>
                <w:szCs w:val="20"/>
                <w:lang w:eastAsia="en-GB"/>
              </w:rPr>
              <w:t xml:space="preserve"> / Trust Lead Cancer </w:t>
            </w:r>
            <w:r w:rsidR="00054010" w:rsidRPr="00054010">
              <w:rPr>
                <w:rFonts w:ascii="Arial" w:hAnsi="Arial" w:cs="Arial"/>
                <w:b/>
                <w:bCs/>
                <w:color w:val="0070C0"/>
                <w:sz w:val="20"/>
                <w:szCs w:val="20"/>
                <w:lang w:eastAsia="en-GB"/>
              </w:rPr>
              <w:t>Clinician</w:t>
            </w:r>
          </w:p>
        </w:tc>
        <w:tc>
          <w:tcPr>
            <w:tcW w:w="8211" w:type="dxa"/>
          </w:tcPr>
          <w:p w14:paraId="1FB28DF1" w14:textId="77777777" w:rsidR="00664F40" w:rsidRPr="00054010" w:rsidRDefault="00BF42B8" w:rsidP="00033806">
            <w:pPr>
              <w:autoSpaceDE w:val="0"/>
              <w:autoSpaceDN w:val="0"/>
              <w:adjustRightInd w:val="0"/>
              <w:spacing w:after="200" w:line="360" w:lineRule="auto"/>
              <w:jc w:val="both"/>
              <w:rPr>
                <w:rFonts w:ascii="Arial" w:hAnsi="Arial" w:cs="Arial"/>
                <w:color w:val="000000" w:themeColor="text1"/>
                <w:sz w:val="20"/>
                <w:szCs w:val="20"/>
                <w:lang w:eastAsia="en-GB"/>
              </w:rPr>
            </w:pPr>
            <w:r w:rsidRPr="00054010">
              <w:rPr>
                <w:rFonts w:ascii="Arial" w:hAnsi="Arial" w:cs="Arial"/>
                <w:color w:val="000000" w:themeColor="text1"/>
                <w:sz w:val="20"/>
                <w:szCs w:val="20"/>
                <w:lang w:eastAsia="en-GB"/>
              </w:rPr>
              <w:t>To ensure formal harm reviews are undertaken for all patients treated beyond 104 days, and that breach RCAs are reviewed for all patients treated over 62 days.</w:t>
            </w:r>
          </w:p>
          <w:p w14:paraId="20C5FA98" w14:textId="3130DD58" w:rsidR="00BF42B8" w:rsidRPr="00054010" w:rsidRDefault="00BF42B8" w:rsidP="00033806">
            <w:pPr>
              <w:autoSpaceDE w:val="0"/>
              <w:autoSpaceDN w:val="0"/>
              <w:adjustRightInd w:val="0"/>
              <w:spacing w:after="200" w:line="360" w:lineRule="auto"/>
              <w:jc w:val="both"/>
              <w:rPr>
                <w:rFonts w:ascii="Arial" w:hAnsi="Arial" w:cs="Arial"/>
                <w:color w:val="000000" w:themeColor="text1"/>
                <w:sz w:val="20"/>
                <w:szCs w:val="20"/>
                <w:lang w:eastAsia="en-GB"/>
              </w:rPr>
            </w:pPr>
            <w:r w:rsidRPr="00054010">
              <w:rPr>
                <w:rFonts w:ascii="Arial" w:hAnsi="Arial" w:cs="Arial"/>
                <w:color w:val="000000" w:themeColor="text1"/>
                <w:sz w:val="20"/>
                <w:szCs w:val="20"/>
                <w:lang w:eastAsia="en-GB"/>
              </w:rPr>
              <w:t xml:space="preserve">That local and MDTs operate in accordance </w:t>
            </w:r>
            <w:r w:rsidR="00054010" w:rsidRPr="00054010">
              <w:rPr>
                <w:rFonts w:ascii="Arial" w:hAnsi="Arial" w:cs="Arial"/>
                <w:color w:val="000000" w:themeColor="text1"/>
                <w:sz w:val="20"/>
                <w:szCs w:val="20"/>
                <w:lang w:eastAsia="en-GB"/>
              </w:rPr>
              <w:t>with</w:t>
            </w:r>
            <w:r w:rsidRPr="00054010">
              <w:rPr>
                <w:rFonts w:ascii="Arial" w:hAnsi="Arial" w:cs="Arial"/>
                <w:color w:val="000000" w:themeColor="text1"/>
                <w:sz w:val="20"/>
                <w:szCs w:val="20"/>
                <w:lang w:eastAsia="en-GB"/>
              </w:rPr>
              <w:t xml:space="preserve"> the required standards in terms of membership and quoracy</w:t>
            </w:r>
            <w:r w:rsidR="007029E4" w:rsidRPr="00054010">
              <w:rPr>
                <w:rFonts w:ascii="Arial" w:hAnsi="Arial" w:cs="Arial"/>
                <w:color w:val="000000" w:themeColor="text1"/>
                <w:sz w:val="20"/>
                <w:szCs w:val="20"/>
                <w:lang w:eastAsia="en-GB"/>
              </w:rPr>
              <w:t xml:space="preserve">, that MDTs function throughout the year and are rearranged </w:t>
            </w:r>
            <w:r w:rsidR="00054010" w:rsidRPr="00054010">
              <w:rPr>
                <w:rFonts w:ascii="Arial" w:hAnsi="Arial" w:cs="Arial"/>
                <w:color w:val="000000" w:themeColor="text1"/>
                <w:sz w:val="20"/>
                <w:szCs w:val="20"/>
                <w:lang w:eastAsia="en-GB"/>
              </w:rPr>
              <w:t>appropriately</w:t>
            </w:r>
            <w:r w:rsidR="007029E4" w:rsidRPr="00054010">
              <w:rPr>
                <w:rFonts w:ascii="Arial" w:hAnsi="Arial" w:cs="Arial"/>
                <w:color w:val="000000" w:themeColor="text1"/>
                <w:sz w:val="20"/>
                <w:szCs w:val="20"/>
                <w:lang w:eastAsia="en-GB"/>
              </w:rPr>
              <w:t xml:space="preserve"> if they fall on a bank holiday or that provision is made to ensure a pathway is not delayed as a result.</w:t>
            </w:r>
          </w:p>
          <w:p w14:paraId="6CA804B4" w14:textId="0D7AC271" w:rsidR="001317CD" w:rsidRPr="00054010" w:rsidRDefault="00D87E53" w:rsidP="00033806">
            <w:pPr>
              <w:autoSpaceDE w:val="0"/>
              <w:autoSpaceDN w:val="0"/>
              <w:adjustRightInd w:val="0"/>
              <w:spacing w:after="200" w:line="360" w:lineRule="auto"/>
              <w:jc w:val="both"/>
              <w:rPr>
                <w:rFonts w:ascii="Arial" w:hAnsi="Arial" w:cs="Arial"/>
                <w:color w:val="000000" w:themeColor="text1"/>
                <w:sz w:val="20"/>
                <w:szCs w:val="20"/>
                <w:lang w:eastAsia="en-GB"/>
              </w:rPr>
            </w:pPr>
            <w:r w:rsidRPr="00054010">
              <w:rPr>
                <w:rFonts w:ascii="Arial" w:hAnsi="Arial" w:cs="Arial"/>
                <w:color w:val="000000" w:themeColor="text1"/>
                <w:sz w:val="20"/>
                <w:szCs w:val="20"/>
                <w:lang w:eastAsia="en-GB"/>
              </w:rPr>
              <w:t xml:space="preserve">Ensuring </w:t>
            </w:r>
            <w:r w:rsidR="00054010" w:rsidRPr="00054010">
              <w:rPr>
                <w:rFonts w:ascii="Arial" w:hAnsi="Arial" w:cs="Arial"/>
                <w:color w:val="000000" w:themeColor="text1"/>
                <w:sz w:val="20"/>
                <w:szCs w:val="20"/>
                <w:lang w:eastAsia="en-GB"/>
              </w:rPr>
              <w:t>appropriate</w:t>
            </w:r>
            <w:r w:rsidR="001317CD" w:rsidRPr="00054010">
              <w:rPr>
                <w:rFonts w:ascii="Arial" w:hAnsi="Arial" w:cs="Arial"/>
                <w:color w:val="000000" w:themeColor="text1"/>
                <w:sz w:val="20"/>
                <w:szCs w:val="20"/>
                <w:lang w:eastAsia="en-GB"/>
              </w:rPr>
              <w:t xml:space="preserve"> clinical </w:t>
            </w:r>
            <w:r w:rsidR="00054010" w:rsidRPr="00054010">
              <w:rPr>
                <w:rFonts w:ascii="Arial" w:hAnsi="Arial" w:cs="Arial"/>
                <w:color w:val="000000" w:themeColor="text1"/>
                <w:sz w:val="20"/>
                <w:szCs w:val="20"/>
                <w:lang w:eastAsia="en-GB"/>
              </w:rPr>
              <w:t>representation</w:t>
            </w:r>
            <w:r w:rsidR="001317CD" w:rsidRPr="00054010">
              <w:rPr>
                <w:rFonts w:ascii="Arial" w:hAnsi="Arial" w:cs="Arial"/>
                <w:color w:val="000000" w:themeColor="text1"/>
                <w:sz w:val="20"/>
                <w:szCs w:val="20"/>
                <w:lang w:eastAsia="en-GB"/>
              </w:rPr>
              <w:t xml:space="preserve"> at the Trust Cancer Board, and associated meetings including specialty patient tracking meetings.</w:t>
            </w:r>
          </w:p>
        </w:tc>
      </w:tr>
      <w:tr w:rsidR="00664F40" w:rsidRPr="00054010" w14:paraId="5AAB41E9" w14:textId="77777777" w:rsidTr="003024D9">
        <w:trPr>
          <w:trHeight w:val="231"/>
        </w:trPr>
        <w:tc>
          <w:tcPr>
            <w:tcW w:w="2230" w:type="dxa"/>
          </w:tcPr>
          <w:p w14:paraId="7AC937B2" w14:textId="4589C4EF" w:rsidR="00664F40" w:rsidRPr="00054010" w:rsidRDefault="00664F40" w:rsidP="004C6375">
            <w:pPr>
              <w:autoSpaceDE w:val="0"/>
              <w:autoSpaceDN w:val="0"/>
              <w:adjustRightInd w:val="0"/>
              <w:spacing w:after="200" w:line="360" w:lineRule="auto"/>
              <w:rPr>
                <w:rFonts w:ascii="Arial" w:hAnsi="Arial" w:cs="Arial"/>
                <w:b/>
                <w:color w:val="0070C0"/>
                <w:sz w:val="20"/>
                <w:szCs w:val="20"/>
                <w:lang w:eastAsia="en-GB"/>
              </w:rPr>
            </w:pPr>
            <w:r w:rsidRPr="00054010">
              <w:rPr>
                <w:rFonts w:ascii="Arial" w:hAnsi="Arial" w:cs="Arial"/>
                <w:b/>
                <w:color w:val="0070C0"/>
                <w:sz w:val="20"/>
                <w:szCs w:val="20"/>
                <w:lang w:eastAsia="en-GB"/>
              </w:rPr>
              <w:t xml:space="preserve">Divisional Directors </w:t>
            </w:r>
          </w:p>
        </w:tc>
        <w:tc>
          <w:tcPr>
            <w:tcW w:w="8211" w:type="dxa"/>
          </w:tcPr>
          <w:p w14:paraId="429259A9" w14:textId="0934A021" w:rsidR="00664F40" w:rsidRPr="00054010" w:rsidRDefault="007029E4" w:rsidP="00033806">
            <w:pPr>
              <w:autoSpaceDE w:val="0"/>
              <w:autoSpaceDN w:val="0"/>
              <w:adjustRightInd w:val="0"/>
              <w:spacing w:after="200" w:line="360" w:lineRule="auto"/>
              <w:jc w:val="both"/>
              <w:rPr>
                <w:rFonts w:ascii="Arial" w:hAnsi="Arial" w:cs="Arial"/>
                <w:color w:val="000000" w:themeColor="text1"/>
                <w:sz w:val="20"/>
                <w:szCs w:val="20"/>
                <w:lang w:eastAsia="en-GB"/>
              </w:rPr>
            </w:pPr>
            <w:r w:rsidRPr="00054010">
              <w:rPr>
                <w:rFonts w:ascii="Arial" w:hAnsi="Arial" w:cs="Arial"/>
                <w:color w:val="000000" w:themeColor="text1"/>
                <w:sz w:val="20"/>
                <w:szCs w:val="20"/>
                <w:lang w:eastAsia="en-GB"/>
              </w:rPr>
              <w:t xml:space="preserve">That core services required for the timely and effective delivery of cancer </w:t>
            </w:r>
            <w:r w:rsidR="00054010" w:rsidRPr="00054010">
              <w:rPr>
                <w:rFonts w:ascii="Arial" w:hAnsi="Arial" w:cs="Arial"/>
                <w:color w:val="000000" w:themeColor="text1"/>
                <w:sz w:val="20"/>
                <w:szCs w:val="20"/>
                <w:lang w:eastAsia="en-GB"/>
              </w:rPr>
              <w:t>pathways</w:t>
            </w:r>
            <w:r w:rsidRPr="00054010">
              <w:rPr>
                <w:rFonts w:ascii="Arial" w:hAnsi="Arial" w:cs="Arial"/>
                <w:color w:val="000000" w:themeColor="text1"/>
                <w:sz w:val="20"/>
                <w:szCs w:val="20"/>
                <w:lang w:eastAsia="en-GB"/>
              </w:rPr>
              <w:t xml:space="preserve"> are maintained throughout the year, including bank holidays, and proactively plan for season variation in referrals and patient choice.</w:t>
            </w:r>
          </w:p>
          <w:p w14:paraId="146AA792" w14:textId="4926358B" w:rsidR="007029E4" w:rsidRPr="00054010" w:rsidRDefault="007029E4" w:rsidP="00033806">
            <w:p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themeColor="text1"/>
                <w:sz w:val="20"/>
                <w:szCs w:val="20"/>
                <w:lang w:eastAsia="en-GB"/>
              </w:rPr>
              <w:t>To ensure appropriate escalation processes are in place and adhered to.</w:t>
            </w:r>
          </w:p>
        </w:tc>
      </w:tr>
      <w:tr w:rsidR="00664F40" w:rsidRPr="00054010" w14:paraId="734F1124" w14:textId="77777777" w:rsidTr="003024D9">
        <w:trPr>
          <w:trHeight w:val="231"/>
        </w:trPr>
        <w:tc>
          <w:tcPr>
            <w:tcW w:w="2230" w:type="dxa"/>
          </w:tcPr>
          <w:p w14:paraId="770C787C" w14:textId="77777777" w:rsidR="00664F40" w:rsidRPr="00054010" w:rsidRDefault="00664F40" w:rsidP="004C6375">
            <w:pPr>
              <w:autoSpaceDE w:val="0"/>
              <w:autoSpaceDN w:val="0"/>
              <w:adjustRightInd w:val="0"/>
              <w:spacing w:after="200" w:line="360" w:lineRule="auto"/>
              <w:rPr>
                <w:rFonts w:ascii="Arial" w:hAnsi="Arial" w:cs="Arial"/>
                <w:b/>
                <w:bCs/>
                <w:color w:val="0070C0"/>
                <w:sz w:val="20"/>
                <w:szCs w:val="20"/>
                <w:lang w:eastAsia="en-GB"/>
              </w:rPr>
            </w:pPr>
            <w:r w:rsidRPr="00054010">
              <w:rPr>
                <w:rFonts w:ascii="Arial" w:hAnsi="Arial" w:cs="Arial"/>
                <w:b/>
                <w:bCs/>
                <w:color w:val="0070C0"/>
                <w:sz w:val="20"/>
                <w:szCs w:val="20"/>
                <w:lang w:eastAsia="en-GB"/>
              </w:rPr>
              <w:t xml:space="preserve">Divisional Management Teams/Operational Managers </w:t>
            </w:r>
          </w:p>
        </w:tc>
        <w:tc>
          <w:tcPr>
            <w:tcW w:w="8211" w:type="dxa"/>
          </w:tcPr>
          <w:p w14:paraId="587A9FBE" w14:textId="7F5A3BF1" w:rsidR="00664F40" w:rsidRPr="00054010" w:rsidRDefault="007029E4" w:rsidP="00033806">
            <w:pPr>
              <w:autoSpaceDE w:val="0"/>
              <w:autoSpaceDN w:val="0"/>
              <w:adjustRightInd w:val="0"/>
              <w:spacing w:after="200" w:line="360" w:lineRule="auto"/>
              <w:jc w:val="both"/>
              <w:rPr>
                <w:rFonts w:ascii="Arial" w:hAnsi="Arial" w:cs="Arial"/>
                <w:b/>
                <w:color w:val="000000"/>
                <w:sz w:val="20"/>
                <w:szCs w:val="20"/>
                <w:lang w:eastAsia="en-GB"/>
              </w:rPr>
            </w:pPr>
            <w:r w:rsidRPr="00054010">
              <w:rPr>
                <w:rFonts w:ascii="Arial" w:hAnsi="Arial" w:cs="Arial"/>
                <w:color w:val="000000"/>
                <w:sz w:val="20"/>
                <w:szCs w:val="20"/>
                <w:lang w:eastAsia="en-GB"/>
              </w:rPr>
              <w:t xml:space="preserve">Ensure proactive management of capacity to maintain waiting times for all cancer pathway milestones in accordance with the national Best Practice Timed Pathway, and IPT policy requirements.  </w:t>
            </w:r>
          </w:p>
        </w:tc>
      </w:tr>
      <w:tr w:rsidR="00664F40" w:rsidRPr="00054010" w14:paraId="5CF957C6" w14:textId="77777777" w:rsidTr="003024D9">
        <w:trPr>
          <w:trHeight w:val="231"/>
        </w:trPr>
        <w:tc>
          <w:tcPr>
            <w:tcW w:w="2230" w:type="dxa"/>
          </w:tcPr>
          <w:p w14:paraId="3B51791B" w14:textId="4F874242" w:rsidR="00664F40" w:rsidRPr="00054010" w:rsidRDefault="007029E4" w:rsidP="00033806">
            <w:pPr>
              <w:autoSpaceDE w:val="0"/>
              <w:autoSpaceDN w:val="0"/>
              <w:adjustRightInd w:val="0"/>
              <w:spacing w:after="200" w:line="360" w:lineRule="auto"/>
              <w:jc w:val="both"/>
              <w:rPr>
                <w:rFonts w:ascii="Arial" w:hAnsi="Arial" w:cs="Arial"/>
                <w:b/>
                <w:bCs/>
                <w:color w:val="0070C0"/>
                <w:sz w:val="20"/>
                <w:szCs w:val="20"/>
                <w:lang w:eastAsia="en-GB"/>
              </w:rPr>
            </w:pPr>
            <w:r w:rsidRPr="00054010">
              <w:rPr>
                <w:rFonts w:ascii="Arial" w:hAnsi="Arial" w:cs="Arial"/>
                <w:b/>
                <w:bCs/>
                <w:color w:val="0070C0"/>
                <w:sz w:val="20"/>
                <w:szCs w:val="20"/>
                <w:lang w:eastAsia="en-GB"/>
              </w:rPr>
              <w:t>Cancer Management Teams</w:t>
            </w:r>
          </w:p>
          <w:p w14:paraId="3F9FD15B" w14:textId="77777777" w:rsidR="00664F40" w:rsidRPr="00054010" w:rsidRDefault="00664F40" w:rsidP="00033806">
            <w:pPr>
              <w:autoSpaceDE w:val="0"/>
              <w:autoSpaceDN w:val="0"/>
              <w:adjustRightInd w:val="0"/>
              <w:spacing w:after="200" w:line="360" w:lineRule="auto"/>
              <w:jc w:val="both"/>
              <w:rPr>
                <w:rFonts w:ascii="Arial" w:hAnsi="Arial" w:cs="Arial"/>
                <w:b/>
                <w:bCs/>
                <w:color w:val="0070C0"/>
                <w:sz w:val="20"/>
                <w:szCs w:val="20"/>
                <w:lang w:eastAsia="en-GB"/>
              </w:rPr>
            </w:pPr>
          </w:p>
        </w:tc>
        <w:tc>
          <w:tcPr>
            <w:tcW w:w="8211" w:type="dxa"/>
          </w:tcPr>
          <w:p w14:paraId="2EAF0166" w14:textId="10D65336" w:rsidR="00664F40" w:rsidRPr="00054010" w:rsidRDefault="001317CD" w:rsidP="001317CD">
            <w:p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sz w:val="20"/>
                <w:szCs w:val="20"/>
                <w:lang w:eastAsia="en-GB"/>
              </w:rPr>
              <w:t>To act as the local expert in compliance with CWT</w:t>
            </w:r>
            <w:r w:rsidR="00D87E53" w:rsidRPr="00054010">
              <w:rPr>
                <w:rFonts w:ascii="Arial" w:hAnsi="Arial" w:cs="Arial"/>
                <w:color w:val="000000"/>
                <w:sz w:val="20"/>
                <w:szCs w:val="20"/>
                <w:lang w:eastAsia="en-GB"/>
              </w:rPr>
              <w:t xml:space="preserve"> standards</w:t>
            </w:r>
            <w:r w:rsidRPr="00054010">
              <w:rPr>
                <w:rFonts w:ascii="Arial" w:hAnsi="Arial" w:cs="Arial"/>
                <w:color w:val="000000"/>
                <w:sz w:val="20"/>
                <w:szCs w:val="20"/>
                <w:lang w:eastAsia="en-GB"/>
              </w:rPr>
              <w:t xml:space="preserve"> and ensuring the </w:t>
            </w:r>
            <w:r w:rsidR="00054010" w:rsidRPr="00054010">
              <w:rPr>
                <w:rFonts w:ascii="Arial" w:hAnsi="Arial" w:cs="Arial"/>
                <w:color w:val="000000"/>
                <w:sz w:val="20"/>
                <w:szCs w:val="20"/>
                <w:lang w:eastAsia="en-GB"/>
              </w:rPr>
              <w:t>appropriate</w:t>
            </w:r>
            <w:r w:rsidRPr="00054010">
              <w:rPr>
                <w:rFonts w:ascii="Arial" w:hAnsi="Arial" w:cs="Arial"/>
                <w:color w:val="000000"/>
                <w:sz w:val="20"/>
                <w:szCs w:val="20"/>
                <w:lang w:eastAsia="en-GB"/>
              </w:rPr>
              <w:t xml:space="preserve"> </w:t>
            </w:r>
            <w:r w:rsidR="0016754F" w:rsidRPr="00054010">
              <w:rPr>
                <w:rFonts w:ascii="Arial" w:hAnsi="Arial" w:cs="Arial"/>
                <w:color w:val="000000"/>
                <w:sz w:val="20"/>
                <w:szCs w:val="20"/>
                <w:lang w:eastAsia="en-GB"/>
              </w:rPr>
              <w:t xml:space="preserve">escalation </w:t>
            </w:r>
            <w:r w:rsidRPr="00054010">
              <w:rPr>
                <w:rFonts w:ascii="Arial" w:hAnsi="Arial" w:cs="Arial"/>
                <w:color w:val="000000"/>
                <w:sz w:val="20"/>
                <w:szCs w:val="20"/>
                <w:lang w:eastAsia="en-GB"/>
              </w:rPr>
              <w:t>policies and operating procedures are in place throughout the Trust.</w:t>
            </w:r>
          </w:p>
          <w:p w14:paraId="7A4FD39D" w14:textId="7E78DD34" w:rsidR="0016754F" w:rsidRPr="00054010" w:rsidRDefault="0016754F" w:rsidP="001317CD">
            <w:p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sz w:val="20"/>
                <w:szCs w:val="20"/>
                <w:lang w:eastAsia="en-GB"/>
              </w:rPr>
              <w:t xml:space="preserve">To act as the main conduit with GM Cancer Alliance in relation to </w:t>
            </w:r>
            <w:r w:rsidR="00054010" w:rsidRPr="00054010">
              <w:rPr>
                <w:rFonts w:ascii="Arial" w:hAnsi="Arial" w:cs="Arial"/>
                <w:color w:val="000000"/>
                <w:sz w:val="20"/>
                <w:szCs w:val="20"/>
                <w:lang w:eastAsia="en-GB"/>
              </w:rPr>
              <w:t>adherence</w:t>
            </w:r>
            <w:r w:rsidRPr="00054010">
              <w:rPr>
                <w:rFonts w:ascii="Arial" w:hAnsi="Arial" w:cs="Arial"/>
                <w:color w:val="000000"/>
                <w:sz w:val="20"/>
                <w:szCs w:val="20"/>
                <w:lang w:eastAsia="en-GB"/>
              </w:rPr>
              <w:t xml:space="preserve"> to and delivery of CWT</w:t>
            </w:r>
            <w:r w:rsidR="003C1064" w:rsidRPr="00054010">
              <w:rPr>
                <w:rFonts w:ascii="Arial" w:hAnsi="Arial" w:cs="Arial"/>
                <w:color w:val="000000"/>
                <w:sz w:val="20"/>
                <w:szCs w:val="20"/>
                <w:lang w:eastAsia="en-GB"/>
              </w:rPr>
              <w:t xml:space="preserve">, including points of clarification </w:t>
            </w:r>
            <w:r w:rsidR="00054010" w:rsidRPr="00054010">
              <w:rPr>
                <w:rFonts w:ascii="Arial" w:hAnsi="Arial" w:cs="Arial"/>
                <w:color w:val="000000"/>
                <w:sz w:val="20"/>
                <w:szCs w:val="20"/>
                <w:lang w:eastAsia="en-GB"/>
              </w:rPr>
              <w:t>/ escalation</w:t>
            </w:r>
            <w:r w:rsidR="003C1064" w:rsidRPr="00054010">
              <w:rPr>
                <w:rFonts w:ascii="Arial" w:hAnsi="Arial" w:cs="Arial"/>
                <w:color w:val="000000"/>
                <w:sz w:val="20"/>
                <w:szCs w:val="20"/>
                <w:lang w:eastAsia="en-GB"/>
              </w:rPr>
              <w:t xml:space="preserve"> of concerns, data submission, predicted performance, audit.</w:t>
            </w:r>
          </w:p>
          <w:p w14:paraId="43CEFC8A" w14:textId="77777777" w:rsidR="001317CD" w:rsidRPr="00054010" w:rsidRDefault="001317CD" w:rsidP="001317CD">
            <w:p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sz w:val="20"/>
                <w:szCs w:val="20"/>
                <w:lang w:eastAsia="en-GB"/>
              </w:rPr>
              <w:t>Ensure effective communication with locality teams on referral quality, and compliance with MDS.</w:t>
            </w:r>
          </w:p>
          <w:p w14:paraId="3773B6E9" w14:textId="697D7C93" w:rsidR="001317CD" w:rsidRPr="00054010" w:rsidRDefault="001317CD" w:rsidP="001317CD">
            <w:p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sz w:val="20"/>
                <w:szCs w:val="20"/>
                <w:lang w:eastAsia="en-GB"/>
              </w:rPr>
              <w:t xml:space="preserve">To </w:t>
            </w:r>
            <w:r w:rsidR="0016754F" w:rsidRPr="00054010">
              <w:rPr>
                <w:rFonts w:ascii="Arial" w:hAnsi="Arial" w:cs="Arial"/>
                <w:color w:val="000000"/>
                <w:sz w:val="20"/>
                <w:szCs w:val="20"/>
                <w:lang w:eastAsia="en-GB"/>
              </w:rPr>
              <w:t>ensure effective</w:t>
            </w:r>
            <w:r w:rsidRPr="00054010">
              <w:rPr>
                <w:rFonts w:ascii="Arial" w:hAnsi="Arial" w:cs="Arial"/>
                <w:color w:val="000000"/>
                <w:sz w:val="20"/>
                <w:szCs w:val="20"/>
                <w:lang w:eastAsia="en-GB"/>
              </w:rPr>
              <w:t xml:space="preserve"> patient tracking </w:t>
            </w:r>
            <w:r w:rsidR="0016754F" w:rsidRPr="00054010">
              <w:rPr>
                <w:rFonts w:ascii="Arial" w:hAnsi="Arial" w:cs="Arial"/>
                <w:color w:val="000000"/>
                <w:sz w:val="20"/>
                <w:szCs w:val="20"/>
                <w:lang w:eastAsia="en-GB"/>
              </w:rPr>
              <w:t xml:space="preserve">/ MDT processes (including meetings) </w:t>
            </w:r>
            <w:r w:rsidRPr="00054010">
              <w:rPr>
                <w:rFonts w:ascii="Arial" w:hAnsi="Arial" w:cs="Arial"/>
                <w:color w:val="000000"/>
                <w:sz w:val="20"/>
                <w:szCs w:val="20"/>
                <w:lang w:eastAsia="en-GB"/>
              </w:rPr>
              <w:t>to ensure p</w:t>
            </w:r>
            <w:r w:rsidR="0016754F" w:rsidRPr="00054010">
              <w:rPr>
                <w:rFonts w:ascii="Arial" w:hAnsi="Arial" w:cs="Arial"/>
                <w:color w:val="000000"/>
                <w:sz w:val="20"/>
                <w:szCs w:val="20"/>
                <w:lang w:eastAsia="en-GB"/>
              </w:rPr>
              <w:t xml:space="preserve">atients are tracked adequately, and their pathways expedited to meet the CWT </w:t>
            </w:r>
            <w:r w:rsidR="00054010" w:rsidRPr="00054010">
              <w:rPr>
                <w:rFonts w:ascii="Arial" w:hAnsi="Arial" w:cs="Arial"/>
                <w:color w:val="000000"/>
                <w:sz w:val="20"/>
                <w:szCs w:val="20"/>
                <w:lang w:eastAsia="en-GB"/>
              </w:rPr>
              <w:t>requirements</w:t>
            </w:r>
            <w:r w:rsidR="0016754F" w:rsidRPr="00054010">
              <w:rPr>
                <w:rFonts w:ascii="Arial" w:hAnsi="Arial" w:cs="Arial"/>
                <w:color w:val="000000"/>
                <w:sz w:val="20"/>
                <w:szCs w:val="20"/>
                <w:lang w:eastAsia="en-GB"/>
              </w:rPr>
              <w:t>.</w:t>
            </w:r>
          </w:p>
          <w:p w14:paraId="60913B2F" w14:textId="3A2A8EB7" w:rsidR="0016754F" w:rsidRPr="00054010" w:rsidRDefault="0016754F" w:rsidP="001317CD">
            <w:p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sz w:val="20"/>
                <w:szCs w:val="20"/>
                <w:lang w:eastAsia="en-GB"/>
              </w:rPr>
              <w:t>To ensure the appropriate and accurate recording of all pathway data.</w:t>
            </w:r>
          </w:p>
          <w:p w14:paraId="44827CC5" w14:textId="0B45FB3D" w:rsidR="0016754F" w:rsidRPr="00054010" w:rsidRDefault="003C1064" w:rsidP="001317CD">
            <w:p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sz w:val="20"/>
                <w:szCs w:val="20"/>
                <w:lang w:eastAsia="en-GB"/>
              </w:rPr>
              <w:lastRenderedPageBreak/>
              <w:t>To ensure a process of audit is in place related to accurate clock stop / starts, 31 day/ consultant upgrade pathways and the use of active monitoring and patient adjustments as a minimum.</w:t>
            </w:r>
          </w:p>
        </w:tc>
      </w:tr>
      <w:tr w:rsidR="00664F40" w:rsidRPr="00054010" w14:paraId="06EC04C9" w14:textId="77777777" w:rsidTr="003024D9">
        <w:trPr>
          <w:trHeight w:val="231"/>
        </w:trPr>
        <w:tc>
          <w:tcPr>
            <w:tcW w:w="2230" w:type="dxa"/>
          </w:tcPr>
          <w:p w14:paraId="7C1BC447" w14:textId="77777777" w:rsidR="00664F40" w:rsidRPr="00054010" w:rsidRDefault="00664F40" w:rsidP="00C77B35">
            <w:pPr>
              <w:autoSpaceDE w:val="0"/>
              <w:autoSpaceDN w:val="0"/>
              <w:adjustRightInd w:val="0"/>
              <w:spacing w:after="200" w:line="360" w:lineRule="auto"/>
              <w:rPr>
                <w:rFonts w:ascii="Arial" w:hAnsi="Arial" w:cs="Arial"/>
                <w:b/>
                <w:bCs/>
                <w:color w:val="0070C0"/>
                <w:sz w:val="20"/>
                <w:szCs w:val="20"/>
                <w:lang w:eastAsia="en-GB"/>
              </w:rPr>
            </w:pPr>
            <w:r w:rsidRPr="00054010">
              <w:rPr>
                <w:rFonts w:ascii="Arial" w:hAnsi="Arial" w:cs="Arial"/>
                <w:b/>
                <w:bCs/>
                <w:color w:val="0070C0"/>
                <w:sz w:val="20"/>
                <w:szCs w:val="20"/>
                <w:lang w:eastAsia="en-GB"/>
              </w:rPr>
              <w:lastRenderedPageBreak/>
              <w:t xml:space="preserve">The patient’s GP and/or referrer </w:t>
            </w:r>
          </w:p>
        </w:tc>
        <w:tc>
          <w:tcPr>
            <w:tcW w:w="8211" w:type="dxa"/>
          </w:tcPr>
          <w:p w14:paraId="5045C93C" w14:textId="37D1E6C1" w:rsidR="00664F40" w:rsidRPr="00054010" w:rsidRDefault="00664F40" w:rsidP="00033806">
            <w:pPr>
              <w:numPr>
                <w:ilvl w:val="0"/>
                <w:numId w:val="8"/>
              </w:numPr>
              <w:spacing w:after="200" w:line="360" w:lineRule="auto"/>
              <w:ind w:left="357" w:hanging="357"/>
              <w:jc w:val="both"/>
              <w:rPr>
                <w:rFonts w:ascii="Arial" w:hAnsi="Arial" w:cs="Arial"/>
                <w:color w:val="000000"/>
                <w:sz w:val="20"/>
                <w:szCs w:val="20"/>
                <w:lang w:eastAsia="en-GB"/>
              </w:rPr>
            </w:pPr>
            <w:r w:rsidRPr="00054010">
              <w:rPr>
                <w:rFonts w:ascii="Arial" w:hAnsi="Arial" w:cs="Arial"/>
                <w:color w:val="000000"/>
                <w:sz w:val="20"/>
                <w:szCs w:val="20"/>
                <w:lang w:eastAsia="en-GB"/>
              </w:rPr>
              <w:t xml:space="preserve">To ensure that referrals are </w:t>
            </w:r>
            <w:r w:rsidR="003C1064" w:rsidRPr="00054010">
              <w:rPr>
                <w:rFonts w:ascii="Arial" w:hAnsi="Arial" w:cs="Arial"/>
                <w:color w:val="000000"/>
                <w:sz w:val="20"/>
                <w:szCs w:val="20"/>
                <w:lang w:eastAsia="en-GB"/>
              </w:rPr>
              <w:t>completed on the GM standard referral forms</w:t>
            </w:r>
          </w:p>
          <w:p w14:paraId="2045DCF0" w14:textId="73B856DB" w:rsidR="00664F40" w:rsidRPr="00054010" w:rsidRDefault="00664F40" w:rsidP="00033806">
            <w:pPr>
              <w:numPr>
                <w:ilvl w:val="0"/>
                <w:numId w:val="8"/>
              </w:numPr>
              <w:autoSpaceDE w:val="0"/>
              <w:autoSpaceDN w:val="0"/>
              <w:adjustRightInd w:val="0"/>
              <w:spacing w:after="200" w:line="360" w:lineRule="auto"/>
              <w:ind w:left="357" w:hanging="357"/>
              <w:jc w:val="both"/>
              <w:rPr>
                <w:rFonts w:ascii="Arial" w:hAnsi="Arial" w:cs="Arial"/>
                <w:color w:val="000000"/>
                <w:sz w:val="20"/>
                <w:szCs w:val="20"/>
                <w:lang w:eastAsia="en-GB"/>
              </w:rPr>
            </w:pPr>
            <w:r w:rsidRPr="00054010">
              <w:rPr>
                <w:rFonts w:ascii="Arial" w:hAnsi="Arial" w:cs="Arial"/>
                <w:color w:val="000000"/>
                <w:sz w:val="20"/>
                <w:szCs w:val="20"/>
                <w:lang w:eastAsia="en-GB"/>
              </w:rPr>
              <w:t>Ensure that</w:t>
            </w:r>
            <w:r w:rsidR="003C1064" w:rsidRPr="00054010">
              <w:rPr>
                <w:rFonts w:ascii="Arial" w:hAnsi="Arial" w:cs="Arial"/>
                <w:color w:val="000000"/>
                <w:sz w:val="20"/>
                <w:szCs w:val="20"/>
                <w:lang w:eastAsia="en-GB"/>
              </w:rPr>
              <w:t xml:space="preserve"> appropriate filter function tests are completed in accor</w:t>
            </w:r>
            <w:r w:rsidR="00054010" w:rsidRPr="00054010">
              <w:rPr>
                <w:rFonts w:ascii="Arial" w:hAnsi="Arial" w:cs="Arial"/>
                <w:color w:val="000000"/>
                <w:sz w:val="20"/>
                <w:szCs w:val="20"/>
                <w:lang w:eastAsia="en-GB"/>
              </w:rPr>
              <w:t>dance</w:t>
            </w:r>
            <w:r w:rsidR="003C1064" w:rsidRPr="00054010">
              <w:rPr>
                <w:rFonts w:ascii="Arial" w:hAnsi="Arial" w:cs="Arial"/>
                <w:color w:val="000000"/>
                <w:sz w:val="20"/>
                <w:szCs w:val="20"/>
                <w:lang w:eastAsia="en-GB"/>
              </w:rPr>
              <w:t xml:space="preserve"> with the tumour specific referral forms</w:t>
            </w:r>
          </w:p>
          <w:p w14:paraId="28A2D90D" w14:textId="0534B32D" w:rsidR="003C1064" w:rsidRPr="00054010" w:rsidRDefault="003C1064" w:rsidP="00033806">
            <w:pPr>
              <w:numPr>
                <w:ilvl w:val="0"/>
                <w:numId w:val="8"/>
              </w:numPr>
              <w:autoSpaceDE w:val="0"/>
              <w:autoSpaceDN w:val="0"/>
              <w:adjustRightInd w:val="0"/>
              <w:spacing w:after="200" w:line="360" w:lineRule="auto"/>
              <w:ind w:left="357" w:hanging="357"/>
              <w:jc w:val="both"/>
              <w:rPr>
                <w:rFonts w:ascii="Arial" w:hAnsi="Arial" w:cs="Arial"/>
                <w:color w:val="000000"/>
                <w:sz w:val="20"/>
                <w:szCs w:val="20"/>
                <w:lang w:eastAsia="en-GB"/>
              </w:rPr>
            </w:pPr>
            <w:r w:rsidRPr="00054010">
              <w:rPr>
                <w:rFonts w:ascii="Arial" w:hAnsi="Arial" w:cs="Arial"/>
                <w:color w:val="000000"/>
                <w:sz w:val="20"/>
                <w:szCs w:val="20"/>
                <w:lang w:eastAsia="en-GB"/>
              </w:rPr>
              <w:t>That patients referred on a LGI pathway have a FIT completed and a result of &gt;10 before a referral is made</w:t>
            </w:r>
          </w:p>
          <w:p w14:paraId="50B7120A" w14:textId="6408678A" w:rsidR="003C1064" w:rsidRPr="00054010" w:rsidRDefault="003C1064" w:rsidP="00033806">
            <w:pPr>
              <w:numPr>
                <w:ilvl w:val="0"/>
                <w:numId w:val="8"/>
              </w:numPr>
              <w:autoSpaceDE w:val="0"/>
              <w:autoSpaceDN w:val="0"/>
              <w:adjustRightInd w:val="0"/>
              <w:spacing w:after="200" w:line="360" w:lineRule="auto"/>
              <w:ind w:left="357" w:hanging="357"/>
              <w:jc w:val="both"/>
              <w:rPr>
                <w:rFonts w:ascii="Arial" w:hAnsi="Arial" w:cs="Arial"/>
                <w:color w:val="000000"/>
                <w:sz w:val="20"/>
                <w:szCs w:val="20"/>
                <w:lang w:eastAsia="en-GB"/>
              </w:rPr>
            </w:pPr>
            <w:r w:rsidRPr="00054010">
              <w:rPr>
                <w:rFonts w:ascii="Arial" w:hAnsi="Arial" w:cs="Arial"/>
                <w:color w:val="000000"/>
                <w:sz w:val="20"/>
                <w:szCs w:val="20"/>
                <w:lang w:eastAsia="en-GB"/>
              </w:rPr>
              <w:t xml:space="preserve">Optimise the use of the NSS pathway to avoid unnecessary investigations </w:t>
            </w:r>
          </w:p>
          <w:p w14:paraId="4649C76B" w14:textId="1F33D945" w:rsidR="00664F40" w:rsidRPr="00054010" w:rsidRDefault="00664F40" w:rsidP="00033806">
            <w:pPr>
              <w:numPr>
                <w:ilvl w:val="0"/>
                <w:numId w:val="8"/>
              </w:num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sz w:val="20"/>
                <w:szCs w:val="20"/>
                <w:lang w:eastAsia="en-GB"/>
              </w:rPr>
              <w:t xml:space="preserve">To ensure that patients are </w:t>
            </w:r>
            <w:r w:rsidR="003C1064" w:rsidRPr="00054010">
              <w:rPr>
                <w:rFonts w:ascii="Arial" w:hAnsi="Arial" w:cs="Arial"/>
                <w:color w:val="000000"/>
                <w:sz w:val="20"/>
                <w:szCs w:val="20"/>
                <w:lang w:eastAsia="en-GB"/>
              </w:rPr>
              <w:t>told they are being referred on a suspected cancer pathway and are provided with the appropriate information on the pathway – including likely tests</w:t>
            </w:r>
            <w:r w:rsidR="00C77B35" w:rsidRPr="00054010">
              <w:rPr>
                <w:rFonts w:ascii="Arial" w:hAnsi="Arial" w:cs="Arial"/>
                <w:color w:val="000000"/>
                <w:sz w:val="20"/>
                <w:szCs w:val="20"/>
                <w:lang w:eastAsia="en-GB"/>
              </w:rPr>
              <w:t xml:space="preserve"> and expectations of attendance</w:t>
            </w:r>
          </w:p>
          <w:p w14:paraId="17742399" w14:textId="2D7B5492" w:rsidR="00664F40" w:rsidRPr="00054010" w:rsidRDefault="003C1064" w:rsidP="00033806">
            <w:pPr>
              <w:numPr>
                <w:ilvl w:val="0"/>
                <w:numId w:val="8"/>
              </w:num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sz w:val="20"/>
                <w:szCs w:val="20"/>
                <w:lang w:eastAsia="en-GB"/>
              </w:rPr>
              <w:t>Ensuring the patient letter and full referral information is added within 24 hours of the referral being made</w:t>
            </w:r>
          </w:p>
          <w:p w14:paraId="3EEDFAE2" w14:textId="77777777" w:rsidR="00664F40" w:rsidRPr="00054010" w:rsidRDefault="003C1064" w:rsidP="00033806">
            <w:pPr>
              <w:numPr>
                <w:ilvl w:val="0"/>
                <w:numId w:val="8"/>
              </w:num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sz w:val="20"/>
                <w:szCs w:val="20"/>
                <w:lang w:eastAsia="en-GB"/>
              </w:rPr>
              <w:t xml:space="preserve">Ensuring that </w:t>
            </w:r>
            <w:r w:rsidR="00353FB3" w:rsidRPr="00054010">
              <w:rPr>
                <w:rFonts w:ascii="Arial" w:hAnsi="Arial" w:cs="Arial"/>
                <w:color w:val="000000"/>
                <w:sz w:val="20"/>
                <w:szCs w:val="20"/>
                <w:lang w:eastAsia="en-GB"/>
              </w:rPr>
              <w:t>NHS only telephone numbers are shared to facilitate referral discussions</w:t>
            </w:r>
          </w:p>
          <w:p w14:paraId="0773F789" w14:textId="0BFDB96E" w:rsidR="00353FB3" w:rsidRPr="00054010" w:rsidRDefault="00353FB3" w:rsidP="00033806">
            <w:pPr>
              <w:numPr>
                <w:ilvl w:val="0"/>
                <w:numId w:val="8"/>
              </w:numPr>
              <w:autoSpaceDE w:val="0"/>
              <w:autoSpaceDN w:val="0"/>
              <w:adjustRightInd w:val="0"/>
              <w:spacing w:after="200" w:line="360" w:lineRule="auto"/>
              <w:jc w:val="both"/>
              <w:rPr>
                <w:rFonts w:ascii="Arial" w:hAnsi="Arial" w:cs="Arial"/>
                <w:color w:val="000000"/>
                <w:sz w:val="20"/>
                <w:szCs w:val="20"/>
                <w:lang w:eastAsia="en-GB"/>
              </w:rPr>
            </w:pPr>
            <w:r w:rsidRPr="00054010">
              <w:rPr>
                <w:rFonts w:ascii="Arial" w:hAnsi="Arial" w:cs="Arial"/>
                <w:color w:val="000000"/>
                <w:sz w:val="20"/>
                <w:szCs w:val="20"/>
                <w:lang w:eastAsia="en-GB"/>
              </w:rPr>
              <w:t>Ensure a frequent check of the referral portal to ensure patients have converted their URBN and that the</w:t>
            </w:r>
            <w:r w:rsidR="00C77B35" w:rsidRPr="00054010">
              <w:rPr>
                <w:rFonts w:ascii="Arial" w:hAnsi="Arial" w:cs="Arial"/>
                <w:color w:val="000000"/>
                <w:sz w:val="20"/>
                <w:szCs w:val="20"/>
                <w:lang w:eastAsia="en-GB"/>
              </w:rPr>
              <w:t>ir</w:t>
            </w:r>
            <w:r w:rsidRPr="00054010">
              <w:rPr>
                <w:rFonts w:ascii="Arial" w:hAnsi="Arial" w:cs="Arial"/>
                <w:color w:val="000000"/>
                <w:sz w:val="20"/>
                <w:szCs w:val="20"/>
                <w:lang w:eastAsia="en-GB"/>
              </w:rPr>
              <w:t xml:space="preserve"> pathway is progressing</w:t>
            </w:r>
          </w:p>
        </w:tc>
      </w:tr>
      <w:tr w:rsidR="00664F40" w:rsidRPr="00054010" w14:paraId="5B427D0F" w14:textId="77777777" w:rsidTr="003024D9">
        <w:trPr>
          <w:trHeight w:val="231"/>
        </w:trPr>
        <w:tc>
          <w:tcPr>
            <w:tcW w:w="2230" w:type="dxa"/>
          </w:tcPr>
          <w:p w14:paraId="27804779" w14:textId="77777777" w:rsidR="00664F40" w:rsidRPr="00054010" w:rsidRDefault="00664F40" w:rsidP="00033806">
            <w:pPr>
              <w:autoSpaceDE w:val="0"/>
              <w:autoSpaceDN w:val="0"/>
              <w:adjustRightInd w:val="0"/>
              <w:spacing w:after="200" w:line="360" w:lineRule="auto"/>
              <w:jc w:val="both"/>
              <w:rPr>
                <w:rFonts w:ascii="Arial" w:hAnsi="Arial" w:cs="Arial"/>
                <w:b/>
                <w:bCs/>
                <w:color w:val="0070C0"/>
                <w:sz w:val="20"/>
                <w:szCs w:val="20"/>
                <w:lang w:eastAsia="en-GB"/>
              </w:rPr>
            </w:pPr>
            <w:r w:rsidRPr="00054010">
              <w:rPr>
                <w:rFonts w:ascii="Arial" w:hAnsi="Arial" w:cs="Arial"/>
                <w:b/>
                <w:bCs/>
                <w:color w:val="0070C0"/>
                <w:sz w:val="20"/>
                <w:szCs w:val="20"/>
                <w:lang w:eastAsia="en-GB"/>
              </w:rPr>
              <w:t>ICB</w:t>
            </w:r>
          </w:p>
        </w:tc>
        <w:tc>
          <w:tcPr>
            <w:tcW w:w="8211" w:type="dxa"/>
          </w:tcPr>
          <w:p w14:paraId="55F2B625" w14:textId="6EDA6159" w:rsidR="00664F40" w:rsidRPr="00054010" w:rsidRDefault="00353FB3" w:rsidP="00353FB3">
            <w:pPr>
              <w:pStyle w:val="ListParagraph"/>
              <w:widowControl w:val="0"/>
              <w:numPr>
                <w:ilvl w:val="0"/>
                <w:numId w:val="8"/>
              </w:numPr>
              <w:tabs>
                <w:tab w:val="left" w:pos="1064"/>
              </w:tabs>
              <w:autoSpaceDE w:val="0"/>
              <w:autoSpaceDN w:val="0"/>
              <w:spacing w:after="200" w:line="360" w:lineRule="auto"/>
              <w:ind w:right="300"/>
              <w:contextualSpacing w:val="0"/>
              <w:jc w:val="both"/>
              <w:rPr>
                <w:rFonts w:ascii="Arial" w:hAnsi="Arial" w:cs="Arial"/>
                <w:color w:val="000000"/>
                <w:sz w:val="20"/>
                <w:szCs w:val="20"/>
                <w:lang w:eastAsia="en-GB"/>
              </w:rPr>
            </w:pPr>
            <w:r w:rsidRPr="00054010">
              <w:rPr>
                <w:rFonts w:ascii="Arial" w:hAnsi="Arial" w:cs="Arial"/>
                <w:sz w:val="20"/>
                <w:szCs w:val="20"/>
              </w:rPr>
              <w:t>To ensure sufficient capacity is commissioned to deliver the CWT standards</w:t>
            </w:r>
          </w:p>
        </w:tc>
      </w:tr>
    </w:tbl>
    <w:p w14:paraId="5AD9A417" w14:textId="77777777" w:rsidR="00664F40" w:rsidRPr="00054010" w:rsidRDefault="00664F40" w:rsidP="00033806">
      <w:pPr>
        <w:spacing w:after="200" w:line="360" w:lineRule="auto"/>
        <w:jc w:val="both"/>
        <w:rPr>
          <w:rFonts w:ascii="Arial" w:hAnsi="Arial" w:cs="Arial"/>
          <w:sz w:val="20"/>
          <w:szCs w:val="20"/>
          <w:highlight w:val="yellow"/>
        </w:rPr>
      </w:pPr>
    </w:p>
    <w:p w14:paraId="166BACE3" w14:textId="77777777" w:rsidR="00E83702" w:rsidRPr="00054010" w:rsidRDefault="00E83702" w:rsidP="00033806">
      <w:pPr>
        <w:spacing w:after="200" w:line="360" w:lineRule="auto"/>
        <w:jc w:val="both"/>
        <w:rPr>
          <w:rFonts w:ascii="Arial" w:hAnsi="Arial" w:cs="Arial"/>
          <w:iCs/>
          <w:sz w:val="20"/>
          <w:szCs w:val="20"/>
        </w:rPr>
      </w:pPr>
    </w:p>
    <w:p w14:paraId="574C710C" w14:textId="106E7435" w:rsidR="00E83702" w:rsidRPr="00054010" w:rsidRDefault="00E83702" w:rsidP="00033806">
      <w:pPr>
        <w:spacing w:after="200" w:line="360" w:lineRule="auto"/>
        <w:jc w:val="both"/>
        <w:rPr>
          <w:rFonts w:ascii="Arial" w:hAnsi="Arial" w:cs="Arial"/>
          <w:iCs/>
          <w:sz w:val="20"/>
          <w:szCs w:val="20"/>
        </w:rPr>
      </w:pPr>
    </w:p>
    <w:p w14:paraId="0FB7F52B" w14:textId="7826EC85" w:rsidR="00246585" w:rsidRPr="00054010" w:rsidRDefault="00353FB3" w:rsidP="00033806">
      <w:pPr>
        <w:pStyle w:val="Heading2"/>
        <w:spacing w:before="0" w:after="200" w:line="360" w:lineRule="auto"/>
        <w:jc w:val="both"/>
        <w:rPr>
          <w:rFonts w:ascii="Arial" w:hAnsi="Arial" w:cs="Arial"/>
          <w:color w:val="0070C0"/>
          <w:sz w:val="24"/>
          <w:szCs w:val="24"/>
        </w:rPr>
      </w:pPr>
      <w:bookmarkStart w:id="2" w:name="_Toc195017908"/>
      <w:r w:rsidRPr="00054010">
        <w:rPr>
          <w:rFonts w:ascii="Arial" w:hAnsi="Arial" w:cs="Arial"/>
          <w:color w:val="0070C0"/>
          <w:sz w:val="24"/>
          <w:szCs w:val="24"/>
        </w:rPr>
        <w:t>2.0</w:t>
      </w:r>
      <w:r w:rsidRPr="00054010">
        <w:rPr>
          <w:rFonts w:ascii="Arial" w:hAnsi="Arial" w:cs="Arial"/>
          <w:color w:val="0070C0"/>
          <w:sz w:val="24"/>
          <w:szCs w:val="24"/>
        </w:rPr>
        <w:tab/>
      </w:r>
      <w:r w:rsidR="00246585" w:rsidRPr="00054010">
        <w:rPr>
          <w:rFonts w:ascii="Arial" w:hAnsi="Arial" w:cs="Arial"/>
          <w:color w:val="0070C0"/>
          <w:sz w:val="24"/>
          <w:szCs w:val="24"/>
        </w:rPr>
        <w:t>Referral</w:t>
      </w:r>
      <w:r w:rsidR="009056AF" w:rsidRPr="00054010">
        <w:rPr>
          <w:rFonts w:ascii="Arial" w:hAnsi="Arial" w:cs="Arial"/>
          <w:color w:val="0070C0"/>
          <w:sz w:val="24"/>
          <w:szCs w:val="24"/>
        </w:rPr>
        <w:t xml:space="preserve"> management</w:t>
      </w:r>
    </w:p>
    <w:p w14:paraId="48EB5BBD" w14:textId="20B69090" w:rsidR="009056AF" w:rsidRPr="00054010" w:rsidRDefault="009056AF" w:rsidP="0056500F">
      <w:pPr>
        <w:pStyle w:val="Heading2"/>
        <w:spacing w:before="0" w:after="200" w:line="360" w:lineRule="auto"/>
        <w:jc w:val="both"/>
        <w:rPr>
          <w:rFonts w:ascii="Arial" w:hAnsi="Arial" w:cs="Arial"/>
          <w:color w:val="000000" w:themeColor="text1"/>
          <w:sz w:val="20"/>
          <w:szCs w:val="20"/>
        </w:rPr>
      </w:pPr>
      <w:r w:rsidRPr="00054010">
        <w:rPr>
          <w:rFonts w:ascii="Arial" w:hAnsi="Arial" w:cs="Arial"/>
          <w:color w:val="000000" w:themeColor="text1"/>
          <w:sz w:val="20"/>
          <w:szCs w:val="20"/>
        </w:rPr>
        <w:t xml:space="preserve">Permitted refers </w:t>
      </w:r>
      <w:r w:rsidR="00304022" w:rsidRPr="00054010">
        <w:rPr>
          <w:rFonts w:ascii="Arial" w:hAnsi="Arial" w:cs="Arial"/>
          <w:color w:val="000000" w:themeColor="text1"/>
          <w:sz w:val="20"/>
          <w:szCs w:val="20"/>
        </w:rPr>
        <w:t xml:space="preserve">of patients </w:t>
      </w:r>
      <w:r w:rsidRPr="00054010">
        <w:rPr>
          <w:rFonts w:ascii="Arial" w:hAnsi="Arial" w:cs="Arial"/>
          <w:color w:val="000000" w:themeColor="text1"/>
          <w:sz w:val="20"/>
          <w:szCs w:val="20"/>
        </w:rPr>
        <w:t xml:space="preserve">onto suspected cancer pathways are defined in the CWT guidance.  There are no locally agreed additions / exceptions.  </w:t>
      </w:r>
      <w:r w:rsidR="00304022" w:rsidRPr="00054010">
        <w:rPr>
          <w:rFonts w:ascii="Arial" w:hAnsi="Arial" w:cs="Arial"/>
          <w:color w:val="000000" w:themeColor="text1"/>
          <w:sz w:val="20"/>
          <w:szCs w:val="20"/>
        </w:rPr>
        <w:t>However, f</w:t>
      </w:r>
      <w:r w:rsidRPr="00054010">
        <w:rPr>
          <w:rFonts w:ascii="Arial" w:hAnsi="Arial" w:cs="Arial"/>
          <w:color w:val="000000" w:themeColor="text1"/>
          <w:sz w:val="20"/>
          <w:szCs w:val="20"/>
        </w:rPr>
        <w:t xml:space="preserve">or recording purposes CWT also describes pathways that </w:t>
      </w:r>
      <w:r w:rsidRPr="00054010">
        <w:rPr>
          <w:rFonts w:ascii="Arial" w:hAnsi="Arial" w:cs="Arial"/>
          <w:color w:val="000000" w:themeColor="text1"/>
          <w:sz w:val="20"/>
          <w:szCs w:val="20"/>
          <w:u w:val="single"/>
        </w:rPr>
        <w:t>should</w:t>
      </w:r>
      <w:r w:rsidRPr="00054010">
        <w:rPr>
          <w:rFonts w:ascii="Arial" w:hAnsi="Arial" w:cs="Arial"/>
          <w:color w:val="000000" w:themeColor="text1"/>
          <w:sz w:val="20"/>
          <w:szCs w:val="20"/>
        </w:rPr>
        <w:t xml:space="preserve"> be recorded as a GP Suspected Cancer Referral (SCR) </w:t>
      </w:r>
      <w:r w:rsidR="00304022" w:rsidRPr="00054010">
        <w:rPr>
          <w:rFonts w:ascii="Arial" w:hAnsi="Arial" w:cs="Arial"/>
          <w:color w:val="000000" w:themeColor="text1"/>
          <w:sz w:val="20"/>
          <w:szCs w:val="20"/>
        </w:rPr>
        <w:t>i.e. lung pathway where patient is retained after an abnormal chest xray.</w:t>
      </w:r>
      <w:r w:rsidR="00C77B35" w:rsidRPr="00054010">
        <w:rPr>
          <w:rFonts w:ascii="Arial" w:hAnsi="Arial" w:cs="Arial"/>
          <w:color w:val="000000" w:themeColor="text1"/>
          <w:sz w:val="20"/>
          <w:szCs w:val="20"/>
        </w:rPr>
        <w:t xml:space="preserve">  All organisations are expected to record pathways in accordance with these requirements.</w:t>
      </w:r>
    </w:p>
    <w:p w14:paraId="59854E64" w14:textId="66DAC372" w:rsidR="00304022" w:rsidRPr="00054010" w:rsidRDefault="00304022" w:rsidP="0056500F">
      <w:pPr>
        <w:spacing w:after="200" w:line="360" w:lineRule="auto"/>
        <w:jc w:val="both"/>
        <w:rPr>
          <w:rFonts w:ascii="Arial" w:hAnsi="Arial" w:cs="Arial"/>
          <w:sz w:val="20"/>
          <w:szCs w:val="20"/>
        </w:rPr>
      </w:pPr>
      <w:r w:rsidRPr="00054010">
        <w:rPr>
          <w:rFonts w:ascii="Arial" w:hAnsi="Arial" w:cs="Arial"/>
          <w:sz w:val="20"/>
          <w:szCs w:val="20"/>
        </w:rPr>
        <w:t xml:space="preserve">CWT states certain pathways </w:t>
      </w:r>
      <w:r w:rsidRPr="00054010">
        <w:rPr>
          <w:rFonts w:ascii="Arial" w:hAnsi="Arial" w:cs="Arial"/>
          <w:sz w:val="20"/>
          <w:szCs w:val="20"/>
          <w:u w:val="single"/>
        </w:rPr>
        <w:t>could</w:t>
      </w:r>
      <w:r w:rsidRPr="00054010">
        <w:rPr>
          <w:rFonts w:ascii="Arial" w:hAnsi="Arial" w:cs="Arial"/>
          <w:sz w:val="20"/>
          <w:szCs w:val="20"/>
        </w:rPr>
        <w:t xml:space="preserve"> be recorded as a GP Suspected Cancer Referral (SCR).  There are no locally agreed additions.  </w:t>
      </w:r>
      <w:proofErr w:type="gramStart"/>
      <w:r w:rsidRPr="00054010">
        <w:rPr>
          <w:rFonts w:ascii="Arial" w:hAnsi="Arial" w:cs="Arial"/>
          <w:sz w:val="20"/>
          <w:szCs w:val="20"/>
        </w:rPr>
        <w:t>For the purpose of</w:t>
      </w:r>
      <w:proofErr w:type="gramEnd"/>
      <w:r w:rsidRPr="00054010">
        <w:rPr>
          <w:rFonts w:ascii="Arial" w:hAnsi="Arial" w:cs="Arial"/>
          <w:sz w:val="20"/>
          <w:szCs w:val="20"/>
        </w:rPr>
        <w:t xml:space="preserve"> consistency, unless stipulated in CWT GM </w:t>
      </w:r>
      <w:r w:rsidR="00C77B35" w:rsidRPr="00054010">
        <w:rPr>
          <w:rFonts w:ascii="Arial" w:hAnsi="Arial" w:cs="Arial"/>
          <w:sz w:val="20"/>
          <w:szCs w:val="20"/>
        </w:rPr>
        <w:t xml:space="preserve">Trusts </w:t>
      </w:r>
      <w:r w:rsidRPr="00054010">
        <w:rPr>
          <w:rFonts w:ascii="Arial" w:hAnsi="Arial" w:cs="Arial"/>
          <w:sz w:val="20"/>
          <w:szCs w:val="20"/>
        </w:rPr>
        <w:t xml:space="preserve">should report </w:t>
      </w:r>
      <w:r w:rsidR="00C77B35" w:rsidRPr="00054010">
        <w:rPr>
          <w:rFonts w:ascii="Arial" w:hAnsi="Arial" w:cs="Arial"/>
          <w:sz w:val="20"/>
          <w:szCs w:val="20"/>
        </w:rPr>
        <w:t xml:space="preserve">other patients </w:t>
      </w:r>
      <w:r w:rsidRPr="00054010">
        <w:rPr>
          <w:rFonts w:ascii="Arial" w:hAnsi="Arial" w:cs="Arial"/>
          <w:sz w:val="20"/>
          <w:szCs w:val="20"/>
        </w:rPr>
        <w:t xml:space="preserve">through consultant upgrades.  This includes patients suspected of cancer from a routine referral at triage / clinic / first attendance / follow up.  Patients who attend though ED and require </w:t>
      </w:r>
      <w:r w:rsidRPr="00054010">
        <w:rPr>
          <w:rFonts w:ascii="Arial" w:hAnsi="Arial" w:cs="Arial"/>
          <w:sz w:val="20"/>
          <w:szCs w:val="20"/>
        </w:rPr>
        <w:lastRenderedPageBreak/>
        <w:t xml:space="preserve">further investigation.  Patients flagged as </w:t>
      </w:r>
      <w:r w:rsidR="00054010" w:rsidRPr="00054010">
        <w:rPr>
          <w:rFonts w:ascii="Arial" w:hAnsi="Arial" w:cs="Arial"/>
          <w:sz w:val="20"/>
          <w:szCs w:val="20"/>
        </w:rPr>
        <w:t>abnormal</w:t>
      </w:r>
      <w:r w:rsidRPr="00054010">
        <w:rPr>
          <w:rFonts w:ascii="Arial" w:hAnsi="Arial" w:cs="Arial"/>
          <w:sz w:val="20"/>
          <w:szCs w:val="20"/>
        </w:rPr>
        <w:t xml:space="preserve"> </w:t>
      </w:r>
      <w:r w:rsidR="00054010" w:rsidRPr="00054010">
        <w:rPr>
          <w:rFonts w:ascii="Arial" w:hAnsi="Arial" w:cs="Arial"/>
          <w:sz w:val="20"/>
          <w:szCs w:val="20"/>
        </w:rPr>
        <w:t>radiology,</w:t>
      </w:r>
      <w:r w:rsidRPr="00054010">
        <w:rPr>
          <w:rFonts w:ascii="Arial" w:hAnsi="Arial" w:cs="Arial"/>
          <w:sz w:val="20"/>
          <w:szCs w:val="20"/>
        </w:rPr>
        <w:t xml:space="preserve"> or histopathology should automatically be upgraded on to a </w:t>
      </w:r>
      <w:r w:rsidR="00054010" w:rsidRPr="00054010">
        <w:rPr>
          <w:rFonts w:ascii="Arial" w:hAnsi="Arial" w:cs="Arial"/>
          <w:sz w:val="20"/>
          <w:szCs w:val="20"/>
        </w:rPr>
        <w:t>consultant</w:t>
      </w:r>
      <w:r w:rsidRPr="00054010">
        <w:rPr>
          <w:rFonts w:ascii="Arial" w:hAnsi="Arial" w:cs="Arial"/>
          <w:sz w:val="20"/>
          <w:szCs w:val="20"/>
        </w:rPr>
        <w:t xml:space="preserve"> pathway.</w:t>
      </w:r>
    </w:p>
    <w:p w14:paraId="075E00E3" w14:textId="1F9D70F2" w:rsidR="009056AF" w:rsidRPr="00054010" w:rsidRDefault="009056AF" w:rsidP="0056500F">
      <w:pPr>
        <w:spacing w:after="200" w:line="360" w:lineRule="auto"/>
        <w:jc w:val="both"/>
        <w:rPr>
          <w:rFonts w:ascii="Arial" w:hAnsi="Arial" w:cs="Arial"/>
          <w:sz w:val="20"/>
          <w:szCs w:val="20"/>
        </w:rPr>
      </w:pPr>
      <w:r w:rsidRPr="00054010">
        <w:rPr>
          <w:rFonts w:ascii="Arial" w:hAnsi="Arial" w:cs="Arial"/>
          <w:sz w:val="20"/>
          <w:szCs w:val="20"/>
        </w:rPr>
        <w:t>Any consultant or permitted member of a consultant team can upgrade a patient onto a</w:t>
      </w:r>
      <w:r w:rsidR="00304022" w:rsidRPr="00054010">
        <w:rPr>
          <w:rFonts w:ascii="Arial" w:hAnsi="Arial" w:cs="Arial"/>
          <w:sz w:val="20"/>
          <w:szCs w:val="20"/>
        </w:rPr>
        <w:t xml:space="preserve"> cancer pathway as a ‘consultant upgrade’.  </w:t>
      </w:r>
    </w:p>
    <w:p w14:paraId="2BF29FA9" w14:textId="44DC7089" w:rsidR="00C77B35" w:rsidRPr="00054010" w:rsidRDefault="00C77B35" w:rsidP="0056500F">
      <w:pPr>
        <w:spacing w:after="200" w:line="360" w:lineRule="auto"/>
        <w:jc w:val="both"/>
        <w:rPr>
          <w:rFonts w:ascii="Arial" w:hAnsi="Arial" w:cs="Arial"/>
          <w:sz w:val="20"/>
          <w:szCs w:val="20"/>
        </w:rPr>
      </w:pPr>
      <w:r w:rsidRPr="00054010">
        <w:rPr>
          <w:rFonts w:ascii="Arial" w:hAnsi="Arial" w:cs="Arial"/>
          <w:sz w:val="20"/>
          <w:szCs w:val="20"/>
        </w:rPr>
        <w:t>Patients should meet the required NG12 criteria for referral into tumour specific pathways</w:t>
      </w:r>
      <w:r w:rsidR="0056500F" w:rsidRPr="00054010">
        <w:rPr>
          <w:rFonts w:ascii="Arial" w:hAnsi="Arial" w:cs="Arial"/>
          <w:sz w:val="20"/>
          <w:szCs w:val="20"/>
        </w:rPr>
        <w:t xml:space="preserve">.  </w:t>
      </w:r>
      <w:r w:rsidR="0056500F" w:rsidRPr="00054010">
        <w:rPr>
          <w:rFonts w:ascii="Arial" w:hAnsi="Arial" w:cs="Arial"/>
          <w:sz w:val="20"/>
          <w:szCs w:val="20"/>
        </w:rPr>
        <w:t xml:space="preserve">Additionally, HRT and Breast Symptomatic pathways in place should be </w:t>
      </w:r>
      <w:proofErr w:type="gramStart"/>
      <w:r w:rsidR="0056500F" w:rsidRPr="00054010">
        <w:rPr>
          <w:rFonts w:ascii="Arial" w:hAnsi="Arial" w:cs="Arial"/>
          <w:sz w:val="20"/>
          <w:szCs w:val="20"/>
        </w:rPr>
        <w:t>adhered to</w:t>
      </w:r>
      <w:r w:rsidR="0056500F" w:rsidRPr="00054010">
        <w:rPr>
          <w:rFonts w:ascii="Arial" w:hAnsi="Arial" w:cs="Arial"/>
          <w:sz w:val="20"/>
          <w:szCs w:val="20"/>
        </w:rPr>
        <w:t xml:space="preserve"> at all times</w:t>
      </w:r>
      <w:proofErr w:type="gramEnd"/>
      <w:r w:rsidR="0056500F" w:rsidRPr="00054010">
        <w:rPr>
          <w:rFonts w:ascii="Arial" w:hAnsi="Arial" w:cs="Arial"/>
          <w:sz w:val="20"/>
          <w:szCs w:val="20"/>
        </w:rPr>
        <w:t>.</w:t>
      </w:r>
      <w:r w:rsidR="0056500F" w:rsidRPr="00054010">
        <w:rPr>
          <w:rFonts w:ascii="Arial" w:hAnsi="Arial" w:cs="Arial"/>
          <w:sz w:val="20"/>
          <w:szCs w:val="20"/>
        </w:rPr>
        <w:t xml:space="preserve">  </w:t>
      </w:r>
    </w:p>
    <w:p w14:paraId="15E3CDC5" w14:textId="313AF8AA" w:rsidR="00C77B35" w:rsidRPr="00054010" w:rsidRDefault="00C77B35" w:rsidP="0056500F">
      <w:pPr>
        <w:spacing w:after="200" w:line="360" w:lineRule="auto"/>
        <w:jc w:val="both"/>
        <w:rPr>
          <w:rFonts w:ascii="Arial" w:hAnsi="Arial" w:cs="Arial"/>
          <w:sz w:val="20"/>
          <w:szCs w:val="20"/>
        </w:rPr>
      </w:pPr>
      <w:r w:rsidRPr="00054010">
        <w:rPr>
          <w:rFonts w:ascii="Arial" w:hAnsi="Arial" w:cs="Arial"/>
          <w:sz w:val="20"/>
          <w:szCs w:val="20"/>
        </w:rPr>
        <w:t>GM commissioned non-site specific pathways are in place throughout GM.  Patients not meeting a site-specific NG12 criteria but where there are vague, but concerning symptoms should be referred into this service.</w:t>
      </w:r>
      <w:r w:rsidR="00AF7F92" w:rsidRPr="00054010">
        <w:rPr>
          <w:rFonts w:ascii="Arial" w:hAnsi="Arial" w:cs="Arial"/>
          <w:sz w:val="20"/>
          <w:szCs w:val="20"/>
        </w:rPr>
        <w:t xml:space="preserve">  </w:t>
      </w:r>
    </w:p>
    <w:p w14:paraId="1007DF8C" w14:textId="2B737D6E" w:rsidR="00972E42" w:rsidRPr="00054010" w:rsidRDefault="00972E42" w:rsidP="0056500F">
      <w:pPr>
        <w:spacing w:after="200" w:line="360" w:lineRule="auto"/>
        <w:jc w:val="both"/>
        <w:rPr>
          <w:rFonts w:ascii="Arial" w:hAnsi="Arial" w:cs="Arial"/>
          <w:sz w:val="20"/>
          <w:szCs w:val="20"/>
        </w:rPr>
      </w:pPr>
      <w:r w:rsidRPr="00054010">
        <w:rPr>
          <w:rFonts w:ascii="Arial" w:hAnsi="Arial" w:cs="Arial"/>
          <w:sz w:val="20"/>
          <w:szCs w:val="20"/>
        </w:rPr>
        <w:t xml:space="preserve">The cancer clocks should start on the day the patient converts their UBRN or the day the referral is received into secondary care (not when letter uploaded).  This should be classed as day 0 (zero) of the pathway.  </w:t>
      </w:r>
    </w:p>
    <w:p w14:paraId="60CF3184" w14:textId="060C0235" w:rsidR="009056AF" w:rsidRPr="00054010" w:rsidRDefault="009056AF" w:rsidP="00304022">
      <w:pPr>
        <w:spacing w:after="200" w:line="360" w:lineRule="auto"/>
        <w:jc w:val="both"/>
        <w:rPr>
          <w:rFonts w:ascii="Arial" w:hAnsi="Arial" w:cs="Arial"/>
          <w:sz w:val="20"/>
          <w:szCs w:val="20"/>
        </w:rPr>
      </w:pPr>
    </w:p>
    <w:p w14:paraId="44AC4089" w14:textId="7F07D4ED" w:rsidR="00E83702" w:rsidRPr="00054010" w:rsidRDefault="00246585" w:rsidP="00033806">
      <w:pPr>
        <w:pStyle w:val="Heading2"/>
        <w:spacing w:before="0" w:after="200" w:line="360" w:lineRule="auto"/>
        <w:jc w:val="both"/>
        <w:rPr>
          <w:rFonts w:ascii="Arial" w:hAnsi="Arial" w:cs="Arial"/>
          <w:color w:val="0070C0"/>
          <w:sz w:val="24"/>
          <w:szCs w:val="24"/>
        </w:rPr>
      </w:pPr>
      <w:r w:rsidRPr="00054010">
        <w:rPr>
          <w:rFonts w:ascii="Arial" w:hAnsi="Arial" w:cs="Arial"/>
          <w:color w:val="0070C0"/>
          <w:sz w:val="24"/>
          <w:szCs w:val="24"/>
        </w:rPr>
        <w:t>2.1</w:t>
      </w:r>
      <w:r w:rsidRPr="00054010">
        <w:rPr>
          <w:rFonts w:ascii="Arial" w:hAnsi="Arial" w:cs="Arial"/>
          <w:color w:val="0070C0"/>
          <w:sz w:val="24"/>
          <w:szCs w:val="24"/>
        </w:rPr>
        <w:tab/>
      </w:r>
      <w:bookmarkEnd w:id="2"/>
      <w:r w:rsidR="0053508C" w:rsidRPr="00054010">
        <w:rPr>
          <w:rFonts w:ascii="Arial" w:hAnsi="Arial" w:cs="Arial"/>
          <w:color w:val="0070C0"/>
          <w:sz w:val="24"/>
          <w:szCs w:val="24"/>
        </w:rPr>
        <w:t xml:space="preserve">Referral documentation </w:t>
      </w:r>
    </w:p>
    <w:p w14:paraId="3A915221" w14:textId="6A3ED704" w:rsidR="0053508C" w:rsidRPr="00054010" w:rsidRDefault="00FA1817" w:rsidP="0056500F">
      <w:pPr>
        <w:spacing w:after="200" w:line="360" w:lineRule="auto"/>
        <w:jc w:val="both"/>
        <w:rPr>
          <w:rFonts w:ascii="Arial" w:hAnsi="Arial" w:cs="Arial"/>
          <w:sz w:val="20"/>
          <w:szCs w:val="20"/>
        </w:rPr>
      </w:pPr>
      <w:r w:rsidRPr="00054010">
        <w:rPr>
          <w:rFonts w:ascii="Arial" w:hAnsi="Arial" w:cs="Arial"/>
          <w:sz w:val="20"/>
          <w:szCs w:val="20"/>
        </w:rPr>
        <w:t xml:space="preserve">All GPs within GM should refer </w:t>
      </w:r>
      <w:r w:rsidR="00054010" w:rsidRPr="00054010">
        <w:rPr>
          <w:rFonts w:ascii="Arial" w:hAnsi="Arial" w:cs="Arial"/>
          <w:sz w:val="20"/>
          <w:szCs w:val="20"/>
        </w:rPr>
        <w:t>patients</w:t>
      </w:r>
      <w:r w:rsidRPr="00054010">
        <w:rPr>
          <w:rFonts w:ascii="Arial" w:hAnsi="Arial" w:cs="Arial"/>
          <w:sz w:val="20"/>
          <w:szCs w:val="20"/>
        </w:rPr>
        <w:t xml:space="preserve"> using the agreed GM pathway referral forms.  These should be completed in full and with all filter function tests completed.  All referrals should be made using E-RS</w:t>
      </w:r>
    </w:p>
    <w:p w14:paraId="10FB987D" w14:textId="648CB430" w:rsidR="0053508C" w:rsidRPr="00054010" w:rsidRDefault="00FA1817" w:rsidP="0056500F">
      <w:pPr>
        <w:spacing w:after="200" w:line="360" w:lineRule="auto"/>
        <w:jc w:val="both"/>
        <w:rPr>
          <w:rFonts w:ascii="Arial" w:hAnsi="Arial" w:cs="Arial"/>
          <w:sz w:val="20"/>
          <w:szCs w:val="20"/>
        </w:rPr>
      </w:pPr>
      <w:r w:rsidRPr="00054010">
        <w:rPr>
          <w:rFonts w:ascii="Arial" w:hAnsi="Arial" w:cs="Arial"/>
          <w:sz w:val="20"/>
          <w:szCs w:val="20"/>
        </w:rPr>
        <w:t xml:space="preserve">Trusts </w:t>
      </w:r>
      <w:r w:rsidR="00054010" w:rsidRPr="00054010">
        <w:rPr>
          <w:rFonts w:ascii="Arial" w:hAnsi="Arial" w:cs="Arial"/>
          <w:sz w:val="20"/>
          <w:szCs w:val="20"/>
        </w:rPr>
        <w:t>should</w:t>
      </w:r>
      <w:r w:rsidRPr="00054010">
        <w:rPr>
          <w:rFonts w:ascii="Arial" w:hAnsi="Arial" w:cs="Arial"/>
          <w:sz w:val="20"/>
          <w:szCs w:val="20"/>
        </w:rPr>
        <w:t xml:space="preserve"> have mechanisms outside of E-RS for receiving referrals from </w:t>
      </w:r>
      <w:r w:rsidR="0053508C" w:rsidRPr="00054010">
        <w:rPr>
          <w:rFonts w:ascii="Arial" w:hAnsi="Arial" w:cs="Arial"/>
          <w:sz w:val="20"/>
          <w:szCs w:val="20"/>
        </w:rPr>
        <w:t>Community hubs, independent sector providers</w:t>
      </w:r>
      <w:r w:rsidRPr="00054010">
        <w:rPr>
          <w:rFonts w:ascii="Arial" w:hAnsi="Arial" w:cs="Arial"/>
          <w:sz w:val="20"/>
          <w:szCs w:val="20"/>
        </w:rPr>
        <w:t xml:space="preserve">, GDP and </w:t>
      </w:r>
      <w:r w:rsidR="00054010" w:rsidRPr="00054010">
        <w:rPr>
          <w:rFonts w:ascii="Arial" w:hAnsi="Arial" w:cs="Arial"/>
          <w:sz w:val="20"/>
          <w:szCs w:val="20"/>
        </w:rPr>
        <w:t>Optometrists</w:t>
      </w:r>
      <w:r w:rsidRPr="00054010">
        <w:rPr>
          <w:rFonts w:ascii="Arial" w:hAnsi="Arial" w:cs="Arial"/>
          <w:sz w:val="20"/>
          <w:szCs w:val="20"/>
        </w:rPr>
        <w:t>.  All referrals should be accompanied by the same level of details as the agreed referral forms.</w:t>
      </w:r>
    </w:p>
    <w:p w14:paraId="66186ED1" w14:textId="2FDF916E" w:rsidR="00FA1817" w:rsidRPr="00054010" w:rsidRDefault="00FA1817" w:rsidP="0056500F">
      <w:pPr>
        <w:spacing w:after="200" w:line="360" w:lineRule="auto"/>
        <w:jc w:val="both"/>
        <w:rPr>
          <w:rFonts w:ascii="Arial" w:hAnsi="Arial" w:cs="Arial"/>
          <w:sz w:val="20"/>
          <w:szCs w:val="20"/>
        </w:rPr>
      </w:pPr>
      <w:r w:rsidRPr="00054010">
        <w:rPr>
          <w:rFonts w:ascii="Arial" w:hAnsi="Arial" w:cs="Arial"/>
          <w:sz w:val="20"/>
          <w:szCs w:val="20"/>
        </w:rPr>
        <w:t>All patients being referred on a Lower GI suspected cancer pathway should have a FIT result of 10mg/ unless FIT is not indicated (rectal bleed etc as per GM FIT SOP (append).  Patients with LGI symptoms with a FIT below 10 but where there is still clinical concern should be referred into a Non-Site Specific (NSS) pathway.</w:t>
      </w:r>
    </w:p>
    <w:p w14:paraId="0AFD2D1D" w14:textId="43425043" w:rsidR="0056500F" w:rsidRPr="00054010" w:rsidRDefault="0056500F" w:rsidP="0056500F">
      <w:pPr>
        <w:spacing w:after="200" w:line="360" w:lineRule="auto"/>
        <w:jc w:val="both"/>
        <w:rPr>
          <w:rFonts w:ascii="Arial" w:hAnsi="Arial" w:cs="Arial"/>
          <w:sz w:val="20"/>
          <w:szCs w:val="20"/>
        </w:rPr>
      </w:pPr>
      <w:r w:rsidRPr="00054010">
        <w:rPr>
          <w:rFonts w:ascii="Arial" w:hAnsi="Arial" w:cs="Arial"/>
          <w:sz w:val="20"/>
          <w:szCs w:val="20"/>
        </w:rPr>
        <w:t>Appropriate audit at practice level should be in place to review compliance with referral documentation (filter function tests, adherence to alternative pathways – HRT, Breast symptomatic, and meeting NG12 criteria).</w:t>
      </w:r>
    </w:p>
    <w:p w14:paraId="11D04D5D" w14:textId="77777777" w:rsidR="0056500F" w:rsidRPr="00054010" w:rsidRDefault="0056500F" w:rsidP="0053508C">
      <w:pPr>
        <w:spacing w:after="200" w:line="360" w:lineRule="auto"/>
        <w:rPr>
          <w:rFonts w:ascii="Arial" w:hAnsi="Arial" w:cs="Arial"/>
          <w:color w:val="0070C0"/>
          <w:sz w:val="24"/>
          <w:szCs w:val="24"/>
          <w:lang w:eastAsia="en-GB"/>
        </w:rPr>
      </w:pPr>
    </w:p>
    <w:p w14:paraId="0DEC5E79" w14:textId="77777777" w:rsidR="0056500F" w:rsidRPr="00054010" w:rsidRDefault="0053508C" w:rsidP="0056500F">
      <w:pPr>
        <w:spacing w:after="200" w:line="360" w:lineRule="auto"/>
        <w:rPr>
          <w:rFonts w:ascii="Arial" w:hAnsi="Arial" w:cs="Arial"/>
          <w:color w:val="0070C0"/>
          <w:sz w:val="24"/>
          <w:szCs w:val="24"/>
        </w:rPr>
      </w:pPr>
      <w:r w:rsidRPr="00054010">
        <w:rPr>
          <w:rFonts w:ascii="Arial" w:hAnsi="Arial" w:cs="Arial"/>
          <w:color w:val="0070C0"/>
          <w:sz w:val="24"/>
          <w:szCs w:val="24"/>
          <w:lang w:eastAsia="en-GB"/>
        </w:rPr>
        <w:t>2.2</w:t>
      </w:r>
      <w:r w:rsidRPr="00054010">
        <w:rPr>
          <w:rFonts w:ascii="Arial" w:hAnsi="Arial" w:cs="Arial"/>
          <w:sz w:val="20"/>
          <w:szCs w:val="20"/>
          <w:lang w:eastAsia="en-GB"/>
        </w:rPr>
        <w:tab/>
      </w:r>
      <w:r w:rsidRPr="00054010">
        <w:rPr>
          <w:rFonts w:ascii="Arial" w:hAnsi="Arial" w:cs="Arial"/>
          <w:color w:val="0070C0"/>
          <w:sz w:val="24"/>
          <w:szCs w:val="24"/>
        </w:rPr>
        <w:t>e-RS – Appointment Slot Issues (ASI)</w:t>
      </w:r>
    </w:p>
    <w:p w14:paraId="1F349B51" w14:textId="5F5459D1" w:rsidR="00E83702" w:rsidRPr="00054010" w:rsidRDefault="00E83702" w:rsidP="0056500F">
      <w:pPr>
        <w:spacing w:after="200" w:line="360" w:lineRule="auto"/>
        <w:jc w:val="both"/>
        <w:rPr>
          <w:rFonts w:ascii="Arial" w:hAnsi="Arial" w:cs="Arial"/>
          <w:sz w:val="20"/>
          <w:szCs w:val="20"/>
        </w:rPr>
      </w:pPr>
      <w:r w:rsidRPr="00054010">
        <w:rPr>
          <w:rFonts w:ascii="Arial" w:hAnsi="Arial" w:cs="Arial"/>
          <w:sz w:val="20"/>
          <w:szCs w:val="20"/>
        </w:rPr>
        <w:t>If a referral is made to a Directly Bookable Service and there are insufficient slots available for the selected service at the time of attempting to book (or convert their Unique Booking Reference Number (UBRN), the patient will appear on the Appointment Slot Issue (ASI) work list. The</w:t>
      </w:r>
      <w:r w:rsidR="009056AF" w:rsidRPr="00054010">
        <w:rPr>
          <w:rFonts w:ascii="Arial" w:hAnsi="Arial" w:cs="Arial"/>
          <w:sz w:val="20"/>
          <w:szCs w:val="20"/>
        </w:rPr>
        <w:t xml:space="preserve"> cancer</w:t>
      </w:r>
      <w:r w:rsidRPr="00054010">
        <w:rPr>
          <w:rFonts w:ascii="Arial" w:hAnsi="Arial" w:cs="Arial"/>
          <w:sz w:val="20"/>
          <w:szCs w:val="20"/>
        </w:rPr>
        <w:t xml:space="preserve"> clock starts from the point at which the patient or referrer attempted to book. </w:t>
      </w:r>
    </w:p>
    <w:p w14:paraId="3C0B5810" w14:textId="1D305BB3" w:rsidR="00E83702" w:rsidRPr="00054010" w:rsidRDefault="00E83702" w:rsidP="0056500F">
      <w:pPr>
        <w:spacing w:after="200" w:line="360" w:lineRule="auto"/>
        <w:jc w:val="both"/>
        <w:rPr>
          <w:rFonts w:ascii="Arial" w:hAnsi="Arial" w:cs="Arial"/>
          <w:sz w:val="20"/>
          <w:szCs w:val="20"/>
        </w:rPr>
      </w:pPr>
      <w:r w:rsidRPr="00054010">
        <w:rPr>
          <w:rFonts w:ascii="Arial" w:hAnsi="Arial" w:cs="Arial"/>
          <w:sz w:val="20"/>
          <w:szCs w:val="20"/>
        </w:rPr>
        <w:lastRenderedPageBreak/>
        <w:t xml:space="preserve">Any referral deemed an ASI must be added to the appropriate waiting list for review and management within </w:t>
      </w:r>
      <w:r w:rsidR="00246585" w:rsidRPr="00054010">
        <w:rPr>
          <w:rFonts w:ascii="Arial" w:hAnsi="Arial" w:cs="Arial"/>
          <w:sz w:val="20"/>
          <w:szCs w:val="20"/>
        </w:rPr>
        <w:t>24</w:t>
      </w:r>
      <w:r w:rsidRPr="00054010">
        <w:rPr>
          <w:rFonts w:ascii="Arial" w:hAnsi="Arial" w:cs="Arial"/>
          <w:sz w:val="20"/>
          <w:szCs w:val="20"/>
        </w:rPr>
        <w:t xml:space="preserve"> hours. </w:t>
      </w:r>
    </w:p>
    <w:p w14:paraId="5DE75519" w14:textId="2D97A761" w:rsidR="00246585" w:rsidRPr="00054010" w:rsidRDefault="00246585" w:rsidP="0056500F">
      <w:pPr>
        <w:spacing w:after="200" w:line="360" w:lineRule="auto"/>
        <w:jc w:val="both"/>
        <w:rPr>
          <w:rFonts w:ascii="Arial" w:hAnsi="Arial" w:cs="Arial"/>
          <w:sz w:val="20"/>
          <w:szCs w:val="20"/>
        </w:rPr>
      </w:pPr>
      <w:r w:rsidRPr="00054010">
        <w:rPr>
          <w:rFonts w:ascii="Arial" w:hAnsi="Arial" w:cs="Arial"/>
          <w:sz w:val="20"/>
          <w:szCs w:val="20"/>
        </w:rPr>
        <w:t>All Trusts are required to review their suspected cancer pathway ASI list at least daily</w:t>
      </w:r>
      <w:r w:rsidR="00DE1677" w:rsidRPr="00054010">
        <w:rPr>
          <w:rFonts w:ascii="Arial" w:hAnsi="Arial" w:cs="Arial"/>
          <w:sz w:val="20"/>
          <w:szCs w:val="20"/>
        </w:rPr>
        <w:t xml:space="preserve"> and ensure that where clock starts are not automated due to ASI that the correct clock is </w:t>
      </w:r>
      <w:r w:rsidR="00054010" w:rsidRPr="00054010">
        <w:rPr>
          <w:rFonts w:ascii="Arial" w:hAnsi="Arial" w:cs="Arial"/>
          <w:sz w:val="20"/>
          <w:szCs w:val="20"/>
        </w:rPr>
        <w:t>entered,</w:t>
      </w:r>
      <w:r w:rsidR="00DE1677" w:rsidRPr="00054010">
        <w:rPr>
          <w:rFonts w:ascii="Arial" w:hAnsi="Arial" w:cs="Arial"/>
          <w:sz w:val="20"/>
          <w:szCs w:val="20"/>
        </w:rPr>
        <w:t xml:space="preserve"> and that sufficient audit process is in place to ensure data quality standards.</w:t>
      </w:r>
    </w:p>
    <w:p w14:paraId="1EE3C74B" w14:textId="77777777" w:rsidR="00E83702" w:rsidRPr="00054010" w:rsidRDefault="00E83702" w:rsidP="00033806">
      <w:pPr>
        <w:spacing w:after="200" w:line="360" w:lineRule="auto"/>
        <w:jc w:val="both"/>
        <w:rPr>
          <w:rFonts w:ascii="Arial" w:hAnsi="Arial" w:cs="Arial"/>
          <w:iCs/>
          <w:sz w:val="20"/>
          <w:szCs w:val="20"/>
        </w:rPr>
      </w:pPr>
    </w:p>
    <w:p w14:paraId="4B935478" w14:textId="03A961DE" w:rsidR="00E83702" w:rsidRPr="00054010" w:rsidRDefault="009056AF" w:rsidP="009056AF">
      <w:pPr>
        <w:pStyle w:val="Heading2"/>
        <w:numPr>
          <w:ilvl w:val="1"/>
          <w:numId w:val="28"/>
        </w:numPr>
        <w:spacing w:before="0" w:after="200" w:line="360" w:lineRule="auto"/>
        <w:jc w:val="both"/>
        <w:rPr>
          <w:rFonts w:ascii="Arial" w:hAnsi="Arial" w:cs="Arial"/>
          <w:color w:val="0070C0"/>
          <w:sz w:val="24"/>
          <w:szCs w:val="24"/>
        </w:rPr>
      </w:pPr>
      <w:bookmarkStart w:id="3" w:name="_Toc195017909"/>
      <w:r w:rsidRPr="00054010">
        <w:rPr>
          <w:rFonts w:ascii="Arial" w:hAnsi="Arial" w:cs="Arial"/>
          <w:color w:val="0070C0"/>
          <w:sz w:val="24"/>
          <w:szCs w:val="24"/>
        </w:rPr>
        <w:t xml:space="preserve">    </w:t>
      </w:r>
      <w:r w:rsidR="00E83702" w:rsidRPr="00054010">
        <w:rPr>
          <w:rFonts w:ascii="Arial" w:hAnsi="Arial" w:cs="Arial"/>
          <w:color w:val="0070C0"/>
          <w:sz w:val="24"/>
          <w:szCs w:val="24"/>
        </w:rPr>
        <w:t>e-RS – Advice and Guidance</w:t>
      </w:r>
      <w:bookmarkEnd w:id="3"/>
    </w:p>
    <w:p w14:paraId="6F1674FF" w14:textId="3D047A4B" w:rsidR="00E83702" w:rsidRPr="00054010" w:rsidRDefault="00246585" w:rsidP="0056500F">
      <w:pPr>
        <w:spacing w:after="200" w:line="360" w:lineRule="auto"/>
        <w:jc w:val="both"/>
        <w:rPr>
          <w:rFonts w:ascii="Arial" w:hAnsi="Arial" w:cs="Arial"/>
          <w:sz w:val="20"/>
          <w:szCs w:val="20"/>
        </w:rPr>
      </w:pPr>
      <w:r w:rsidRPr="00054010">
        <w:rPr>
          <w:rFonts w:ascii="Arial" w:hAnsi="Arial" w:cs="Arial"/>
          <w:sz w:val="20"/>
          <w:szCs w:val="20"/>
        </w:rPr>
        <w:t xml:space="preserve">Advice and guidance is </w:t>
      </w:r>
      <w:r w:rsidRPr="00054010">
        <w:rPr>
          <w:rFonts w:ascii="Arial" w:hAnsi="Arial" w:cs="Arial"/>
          <w:sz w:val="20"/>
          <w:szCs w:val="20"/>
          <w:u w:val="single"/>
        </w:rPr>
        <w:t>not permitted</w:t>
      </w:r>
      <w:r w:rsidRPr="00054010">
        <w:rPr>
          <w:rFonts w:ascii="Arial" w:hAnsi="Arial" w:cs="Arial"/>
          <w:sz w:val="20"/>
          <w:szCs w:val="20"/>
        </w:rPr>
        <w:t xml:space="preserve"> on suspected cancer pathways.  Patients meeting the NICE threshold for referral must be referred directly into a suspected cancer service.  </w:t>
      </w:r>
    </w:p>
    <w:p w14:paraId="0C5F02B0" w14:textId="4417F3EC" w:rsidR="00246585" w:rsidRPr="00054010" w:rsidRDefault="00246585" w:rsidP="0056500F">
      <w:pPr>
        <w:spacing w:after="200" w:line="360" w:lineRule="auto"/>
        <w:jc w:val="both"/>
        <w:rPr>
          <w:rFonts w:ascii="Arial" w:hAnsi="Arial" w:cs="Arial"/>
          <w:iCs/>
          <w:sz w:val="20"/>
          <w:szCs w:val="20"/>
        </w:rPr>
      </w:pPr>
      <w:r w:rsidRPr="00054010">
        <w:rPr>
          <w:rFonts w:ascii="Arial" w:hAnsi="Arial" w:cs="Arial"/>
          <w:sz w:val="20"/>
          <w:szCs w:val="20"/>
        </w:rPr>
        <w:t xml:space="preserve">Advice and guidance </w:t>
      </w:r>
      <w:r w:rsidRPr="00054010">
        <w:rPr>
          <w:rFonts w:ascii="Arial" w:hAnsi="Arial" w:cs="Arial"/>
          <w:sz w:val="20"/>
          <w:szCs w:val="20"/>
          <w:u w:val="single"/>
        </w:rPr>
        <w:t>is</w:t>
      </w:r>
      <w:r w:rsidRPr="00054010">
        <w:rPr>
          <w:rFonts w:ascii="Arial" w:hAnsi="Arial" w:cs="Arial"/>
          <w:sz w:val="20"/>
          <w:szCs w:val="20"/>
        </w:rPr>
        <w:t xml:space="preserve"> permitted for Breast Symptomatic referrals (patients not initially suspected of cancer and may be managed pre-referral in line with a routine elective pathway</w:t>
      </w:r>
      <w:r w:rsidR="0056500F" w:rsidRPr="00054010">
        <w:rPr>
          <w:rFonts w:ascii="Arial" w:hAnsi="Arial" w:cs="Arial"/>
          <w:sz w:val="20"/>
          <w:szCs w:val="20"/>
        </w:rPr>
        <w:t>.</w:t>
      </w:r>
    </w:p>
    <w:p w14:paraId="61A54330" w14:textId="0D41873B" w:rsidR="00E83702" w:rsidRPr="00054010" w:rsidRDefault="00DE1677" w:rsidP="0056500F">
      <w:pPr>
        <w:spacing w:after="200" w:line="360" w:lineRule="auto"/>
        <w:jc w:val="both"/>
        <w:rPr>
          <w:rFonts w:ascii="Arial" w:hAnsi="Arial" w:cs="Arial"/>
          <w:iCs/>
          <w:sz w:val="20"/>
          <w:szCs w:val="20"/>
        </w:rPr>
      </w:pPr>
      <w:r w:rsidRPr="00054010">
        <w:rPr>
          <w:rFonts w:ascii="Arial" w:hAnsi="Arial" w:cs="Arial"/>
          <w:iCs/>
          <w:sz w:val="20"/>
          <w:szCs w:val="20"/>
          <w:highlight w:val="yellow"/>
        </w:rPr>
        <w:t xml:space="preserve">The GM agreed approach to the management of Breast </w:t>
      </w:r>
      <w:r w:rsidR="00054010" w:rsidRPr="00054010">
        <w:rPr>
          <w:rFonts w:ascii="Arial" w:hAnsi="Arial" w:cs="Arial"/>
          <w:iCs/>
          <w:sz w:val="20"/>
          <w:szCs w:val="20"/>
          <w:highlight w:val="yellow"/>
        </w:rPr>
        <w:t>Symptomatic</w:t>
      </w:r>
      <w:r w:rsidRPr="00054010">
        <w:rPr>
          <w:rFonts w:ascii="Arial" w:hAnsi="Arial" w:cs="Arial"/>
          <w:iCs/>
          <w:sz w:val="20"/>
          <w:szCs w:val="20"/>
          <w:highlight w:val="yellow"/>
        </w:rPr>
        <w:t xml:space="preserve"> referrals is as follows:</w:t>
      </w:r>
    </w:p>
    <w:p w14:paraId="5274D939" w14:textId="6F63C663" w:rsidR="00DE1677" w:rsidRPr="00054010" w:rsidRDefault="00DE1677" w:rsidP="0056500F">
      <w:pPr>
        <w:spacing w:after="200" w:line="360" w:lineRule="auto"/>
        <w:jc w:val="both"/>
        <w:rPr>
          <w:rFonts w:ascii="Arial" w:hAnsi="Arial" w:cs="Arial"/>
          <w:iCs/>
          <w:sz w:val="20"/>
          <w:szCs w:val="20"/>
        </w:rPr>
      </w:pPr>
      <w:r w:rsidRPr="00054010">
        <w:rPr>
          <w:rFonts w:ascii="Arial" w:hAnsi="Arial" w:cs="Arial"/>
          <w:iCs/>
          <w:sz w:val="20"/>
          <w:szCs w:val="20"/>
        </w:rPr>
        <w:t xml:space="preserve">TBC via Pathway Board and added.  </w:t>
      </w:r>
    </w:p>
    <w:p w14:paraId="64B31A67" w14:textId="49E23CF4" w:rsidR="00DE1677" w:rsidRPr="00054010" w:rsidRDefault="00DE1677" w:rsidP="0056500F">
      <w:pPr>
        <w:spacing w:after="200" w:line="360" w:lineRule="auto"/>
        <w:jc w:val="both"/>
        <w:rPr>
          <w:rFonts w:ascii="Arial" w:hAnsi="Arial" w:cs="Arial"/>
          <w:iCs/>
          <w:sz w:val="20"/>
          <w:szCs w:val="20"/>
        </w:rPr>
      </w:pPr>
      <w:r w:rsidRPr="00054010">
        <w:rPr>
          <w:rFonts w:ascii="Arial" w:hAnsi="Arial" w:cs="Arial"/>
          <w:iCs/>
          <w:sz w:val="20"/>
          <w:szCs w:val="20"/>
        </w:rPr>
        <w:t>Of note, although pre-referral management processes have recently altered (as above) if a patient is referred into secondary care pathway, the patient pathway should be treated in line with FDS and 62 day clock requirements</w:t>
      </w:r>
      <w:r w:rsidR="0056500F" w:rsidRPr="00054010">
        <w:rPr>
          <w:rFonts w:ascii="Arial" w:hAnsi="Arial" w:cs="Arial"/>
          <w:iCs/>
          <w:sz w:val="20"/>
          <w:szCs w:val="20"/>
        </w:rPr>
        <w:t xml:space="preserve"> and regular pathway management processed</w:t>
      </w:r>
      <w:r w:rsidRPr="00054010">
        <w:rPr>
          <w:rFonts w:ascii="Arial" w:hAnsi="Arial" w:cs="Arial"/>
          <w:iCs/>
          <w:sz w:val="20"/>
          <w:szCs w:val="20"/>
        </w:rPr>
        <w:t>.</w:t>
      </w:r>
    </w:p>
    <w:p w14:paraId="4B6F4363" w14:textId="77777777" w:rsidR="00DE1677" w:rsidRPr="00054010" w:rsidRDefault="00DE1677" w:rsidP="00033806">
      <w:pPr>
        <w:spacing w:after="200" w:line="360" w:lineRule="auto"/>
        <w:jc w:val="both"/>
        <w:rPr>
          <w:rFonts w:ascii="Arial" w:hAnsi="Arial" w:cs="Arial"/>
          <w:iCs/>
          <w:sz w:val="20"/>
          <w:szCs w:val="20"/>
        </w:rPr>
      </w:pPr>
    </w:p>
    <w:p w14:paraId="426A1F92" w14:textId="2CF46530" w:rsidR="0053508C" w:rsidRPr="00054010" w:rsidRDefault="0053508C" w:rsidP="0053508C">
      <w:pPr>
        <w:pStyle w:val="Heading2"/>
        <w:numPr>
          <w:ilvl w:val="1"/>
          <w:numId w:val="28"/>
        </w:numPr>
        <w:spacing w:before="0" w:after="200" w:line="360" w:lineRule="auto"/>
        <w:jc w:val="both"/>
        <w:rPr>
          <w:rFonts w:ascii="Arial" w:hAnsi="Arial" w:cs="Arial"/>
          <w:color w:val="0070C0"/>
          <w:sz w:val="24"/>
          <w:szCs w:val="24"/>
        </w:rPr>
      </w:pPr>
      <w:r w:rsidRPr="00054010">
        <w:rPr>
          <w:rFonts w:ascii="Arial" w:hAnsi="Arial" w:cs="Arial"/>
          <w:color w:val="0070C0"/>
          <w:sz w:val="24"/>
          <w:szCs w:val="24"/>
        </w:rPr>
        <w:t xml:space="preserve">    </w:t>
      </w:r>
      <w:r w:rsidRPr="00054010">
        <w:rPr>
          <w:rFonts w:ascii="Arial" w:hAnsi="Arial" w:cs="Arial"/>
          <w:color w:val="0070C0"/>
          <w:sz w:val="24"/>
          <w:szCs w:val="24"/>
        </w:rPr>
        <w:t>Incomplete referrals</w:t>
      </w:r>
    </w:p>
    <w:p w14:paraId="7F1077B2" w14:textId="1A40E6BF" w:rsidR="00236C44" w:rsidRPr="00054010" w:rsidRDefault="00040F12" w:rsidP="00040F12">
      <w:pPr>
        <w:pStyle w:val="Title"/>
        <w:spacing w:after="200" w:line="360" w:lineRule="auto"/>
        <w:jc w:val="both"/>
        <w:rPr>
          <w:rFonts w:ascii="Arial" w:hAnsi="Arial" w:cs="Arial"/>
          <w:sz w:val="20"/>
          <w:szCs w:val="20"/>
        </w:rPr>
      </w:pPr>
      <w:r w:rsidRPr="00054010">
        <w:rPr>
          <w:rFonts w:ascii="Arial" w:hAnsi="Arial" w:cs="Arial"/>
          <w:sz w:val="20"/>
          <w:szCs w:val="20"/>
        </w:rPr>
        <w:t xml:space="preserve">Referrals should not be rejected or returned because information is missing.  </w:t>
      </w:r>
      <w:r w:rsidR="00236C44" w:rsidRPr="00054010">
        <w:rPr>
          <w:rFonts w:ascii="Arial" w:hAnsi="Arial" w:cs="Arial"/>
          <w:sz w:val="20"/>
          <w:szCs w:val="20"/>
        </w:rPr>
        <w:t xml:space="preserve">Information should be requested from the GP but the default position should be to book and see the patient in the safest manner within the required timescales. </w:t>
      </w:r>
      <w:r w:rsidRPr="00054010">
        <w:rPr>
          <w:rFonts w:ascii="Arial" w:hAnsi="Arial" w:cs="Arial"/>
          <w:sz w:val="20"/>
          <w:szCs w:val="20"/>
        </w:rPr>
        <w:t xml:space="preserve"> T</w:t>
      </w:r>
      <w:r w:rsidRPr="00054010">
        <w:rPr>
          <w:rFonts w:ascii="Arial" w:hAnsi="Arial" w:cs="Arial"/>
          <w:sz w:val="20"/>
          <w:szCs w:val="20"/>
        </w:rPr>
        <w:t>here should be no pause or resetting of the pathway start date</w:t>
      </w:r>
      <w:r w:rsidRPr="00054010">
        <w:rPr>
          <w:rFonts w:ascii="Arial" w:hAnsi="Arial" w:cs="Arial"/>
          <w:sz w:val="20"/>
          <w:szCs w:val="20"/>
        </w:rPr>
        <w:t xml:space="preserve"> in line with the </w:t>
      </w:r>
      <w:r w:rsidR="00054010" w:rsidRPr="00054010">
        <w:rPr>
          <w:rFonts w:ascii="Arial" w:hAnsi="Arial" w:cs="Arial"/>
          <w:sz w:val="20"/>
          <w:szCs w:val="20"/>
        </w:rPr>
        <w:t>patients’</w:t>
      </w:r>
      <w:r w:rsidRPr="00054010">
        <w:rPr>
          <w:rFonts w:ascii="Arial" w:hAnsi="Arial" w:cs="Arial"/>
          <w:sz w:val="20"/>
          <w:szCs w:val="20"/>
        </w:rPr>
        <w:t xml:space="preserve"> best interests.  Incomplete referrals should form part of feedback between Trusts / localities, with GM Cancer providing oversight and escalation points.</w:t>
      </w:r>
    </w:p>
    <w:p w14:paraId="74A94A4D" w14:textId="6A85EE7E" w:rsidR="00040F12" w:rsidRPr="00054010" w:rsidRDefault="00040F12" w:rsidP="00040F12">
      <w:pPr>
        <w:pStyle w:val="Title"/>
        <w:spacing w:after="200" w:line="360" w:lineRule="auto"/>
        <w:jc w:val="both"/>
        <w:rPr>
          <w:rFonts w:ascii="Arial" w:hAnsi="Arial" w:cs="Arial"/>
          <w:sz w:val="20"/>
          <w:szCs w:val="20"/>
        </w:rPr>
      </w:pPr>
      <w:r w:rsidRPr="00054010">
        <w:rPr>
          <w:rFonts w:ascii="Arial" w:hAnsi="Arial" w:cs="Arial"/>
          <w:sz w:val="20"/>
          <w:szCs w:val="20"/>
        </w:rPr>
        <w:br/>
      </w:r>
      <w:r w:rsidRPr="00054010">
        <w:rPr>
          <w:rFonts w:ascii="Arial" w:hAnsi="Arial" w:cs="Arial"/>
          <w:sz w:val="20"/>
          <w:szCs w:val="20"/>
        </w:rPr>
        <w:t xml:space="preserve">If a referral is received that a consultant does not feel meets the NICE requirements for a SCR criteria, this may be discussed with the referrer.  The referrer can then retract the referral or removed its SCR criteria after this discussion if </w:t>
      </w:r>
      <w:r w:rsidR="00054010" w:rsidRPr="00054010">
        <w:rPr>
          <w:rFonts w:ascii="Arial" w:hAnsi="Arial" w:cs="Arial"/>
          <w:sz w:val="20"/>
          <w:szCs w:val="20"/>
        </w:rPr>
        <w:t>appropriate</w:t>
      </w:r>
      <w:r w:rsidRPr="00054010">
        <w:rPr>
          <w:rFonts w:ascii="Arial" w:hAnsi="Arial" w:cs="Arial"/>
          <w:sz w:val="20"/>
          <w:szCs w:val="20"/>
        </w:rPr>
        <w:t xml:space="preserve">.  A SCR tag can only be removed </w:t>
      </w:r>
      <w:r w:rsidRPr="00054010">
        <w:rPr>
          <w:rFonts w:ascii="Arial" w:hAnsi="Arial" w:cs="Arial"/>
          <w:sz w:val="20"/>
          <w:szCs w:val="20"/>
        </w:rPr>
        <w:t xml:space="preserve">prior to </w:t>
      </w:r>
      <w:r w:rsidRPr="00054010">
        <w:rPr>
          <w:rFonts w:ascii="Arial" w:hAnsi="Arial" w:cs="Arial"/>
          <w:sz w:val="20"/>
          <w:szCs w:val="20"/>
        </w:rPr>
        <w:t xml:space="preserve">a </w:t>
      </w:r>
      <w:r w:rsidRPr="00054010">
        <w:rPr>
          <w:rFonts w:ascii="Arial" w:hAnsi="Arial" w:cs="Arial"/>
          <w:sz w:val="20"/>
          <w:szCs w:val="20"/>
        </w:rPr>
        <w:t xml:space="preserve">first appointment in secondary care after discussion and agreement with the referring GP/GDP. </w:t>
      </w:r>
      <w:r w:rsidRPr="00054010">
        <w:rPr>
          <w:rFonts w:ascii="Arial" w:hAnsi="Arial" w:cs="Arial"/>
          <w:sz w:val="20"/>
          <w:szCs w:val="20"/>
        </w:rPr>
        <w:t xml:space="preserve"> If the patient has already attended secondary care, then they can only be removed from a cancer pathway by stopping the 28 day FDS clock as non-cancer.  </w:t>
      </w:r>
    </w:p>
    <w:p w14:paraId="60B67B4C" w14:textId="77777777" w:rsidR="00040F12" w:rsidRPr="00054010" w:rsidRDefault="00040F12" w:rsidP="00040F12">
      <w:pPr>
        <w:pStyle w:val="Title"/>
        <w:spacing w:after="200" w:line="360" w:lineRule="auto"/>
        <w:jc w:val="both"/>
        <w:rPr>
          <w:rFonts w:ascii="Arial" w:hAnsi="Arial" w:cs="Arial"/>
          <w:sz w:val="20"/>
          <w:szCs w:val="20"/>
        </w:rPr>
      </w:pPr>
    </w:p>
    <w:p w14:paraId="124ADB9E" w14:textId="531C1D8E" w:rsidR="00040F12" w:rsidRPr="00054010" w:rsidRDefault="00040F12" w:rsidP="00040F12">
      <w:pPr>
        <w:pStyle w:val="Title"/>
        <w:spacing w:after="200" w:line="360" w:lineRule="auto"/>
        <w:jc w:val="both"/>
        <w:rPr>
          <w:rFonts w:ascii="Arial" w:hAnsi="Arial" w:cs="Arial"/>
          <w:b/>
          <w:bCs/>
          <w:sz w:val="20"/>
          <w:szCs w:val="20"/>
        </w:rPr>
      </w:pPr>
      <w:r w:rsidRPr="00054010">
        <w:rPr>
          <w:rFonts w:ascii="Arial" w:hAnsi="Arial" w:cs="Arial"/>
          <w:sz w:val="20"/>
          <w:szCs w:val="20"/>
        </w:rPr>
        <w:t xml:space="preserve">Only, the </w:t>
      </w:r>
      <w:r w:rsidRPr="00054010">
        <w:rPr>
          <w:rFonts w:ascii="Arial" w:hAnsi="Arial" w:cs="Arial"/>
          <w:sz w:val="20"/>
          <w:szCs w:val="20"/>
        </w:rPr>
        <w:t xml:space="preserve">referring GP/GDP </w:t>
      </w:r>
      <w:proofErr w:type="gramStart"/>
      <w:r w:rsidRPr="00054010">
        <w:rPr>
          <w:rFonts w:ascii="Arial" w:hAnsi="Arial" w:cs="Arial"/>
          <w:sz w:val="20"/>
          <w:szCs w:val="20"/>
        </w:rPr>
        <w:t>has the ability to</w:t>
      </w:r>
      <w:proofErr w:type="gramEnd"/>
      <w:r w:rsidRPr="00054010">
        <w:rPr>
          <w:rFonts w:ascii="Arial" w:hAnsi="Arial" w:cs="Arial"/>
          <w:sz w:val="20"/>
          <w:szCs w:val="20"/>
        </w:rPr>
        <w:t xml:space="preserve"> </w:t>
      </w:r>
      <w:r w:rsidRPr="00054010">
        <w:rPr>
          <w:rFonts w:ascii="Arial" w:hAnsi="Arial" w:cs="Arial"/>
          <w:sz w:val="20"/>
          <w:szCs w:val="20"/>
        </w:rPr>
        <w:t>remove a SCR status.  Patients cannot be ‘downgraded’ in secondary care under any circumstances</w:t>
      </w:r>
      <w:r w:rsidRPr="00054010">
        <w:rPr>
          <w:rFonts w:ascii="Arial" w:hAnsi="Arial" w:cs="Arial"/>
          <w:sz w:val="20"/>
          <w:szCs w:val="20"/>
        </w:rPr>
        <w:t>.</w:t>
      </w:r>
    </w:p>
    <w:p w14:paraId="0C67DED3" w14:textId="77777777" w:rsidR="00972E42" w:rsidRPr="00054010" w:rsidRDefault="00972E42" w:rsidP="00972E42">
      <w:pPr>
        <w:pStyle w:val="Heading2"/>
        <w:spacing w:before="0" w:after="200" w:line="360" w:lineRule="auto"/>
        <w:jc w:val="both"/>
        <w:rPr>
          <w:rFonts w:ascii="Arial" w:hAnsi="Arial" w:cs="Arial"/>
          <w:color w:val="0070C0"/>
          <w:sz w:val="24"/>
          <w:szCs w:val="24"/>
        </w:rPr>
      </w:pPr>
      <w:bookmarkStart w:id="4" w:name="_Toc195017966"/>
    </w:p>
    <w:p w14:paraId="5D9CAB70" w14:textId="5B8D9516" w:rsidR="00236C44" w:rsidRPr="00054010" w:rsidRDefault="00972E42" w:rsidP="00972E42">
      <w:pPr>
        <w:pStyle w:val="Heading2"/>
        <w:numPr>
          <w:ilvl w:val="1"/>
          <w:numId w:val="28"/>
        </w:numPr>
        <w:spacing w:before="0" w:after="200" w:line="360" w:lineRule="auto"/>
        <w:jc w:val="both"/>
        <w:rPr>
          <w:rFonts w:ascii="Arial" w:hAnsi="Arial" w:cs="Arial"/>
          <w:sz w:val="20"/>
          <w:szCs w:val="20"/>
        </w:rPr>
      </w:pPr>
      <w:r w:rsidRPr="00054010">
        <w:rPr>
          <w:rFonts w:ascii="Arial" w:hAnsi="Arial" w:cs="Arial"/>
          <w:color w:val="0070C0"/>
          <w:sz w:val="24"/>
          <w:szCs w:val="24"/>
        </w:rPr>
        <w:t xml:space="preserve">  </w:t>
      </w:r>
      <w:r w:rsidR="00236C44" w:rsidRPr="00054010">
        <w:rPr>
          <w:rFonts w:ascii="Arial" w:hAnsi="Arial" w:cs="Arial"/>
          <w:color w:val="0070C0"/>
          <w:sz w:val="24"/>
          <w:szCs w:val="24"/>
        </w:rPr>
        <w:t>Referrals From Private Practice</w:t>
      </w:r>
      <w:bookmarkEnd w:id="4"/>
    </w:p>
    <w:p w14:paraId="5E69D6CE" w14:textId="480FE833" w:rsidR="00236C44" w:rsidRPr="00054010" w:rsidRDefault="00236C44" w:rsidP="00033806">
      <w:pPr>
        <w:pStyle w:val="Title"/>
        <w:spacing w:after="200" w:line="360" w:lineRule="auto"/>
        <w:jc w:val="both"/>
        <w:rPr>
          <w:rFonts w:ascii="Arial" w:hAnsi="Arial" w:cs="Arial"/>
          <w:sz w:val="20"/>
          <w:szCs w:val="20"/>
        </w:rPr>
      </w:pPr>
      <w:r w:rsidRPr="00054010">
        <w:rPr>
          <w:rFonts w:ascii="Arial" w:hAnsi="Arial" w:cs="Arial"/>
          <w:sz w:val="20"/>
          <w:szCs w:val="20"/>
        </w:rPr>
        <w:br/>
      </w:r>
      <w:r w:rsidR="002E3EC5" w:rsidRPr="00054010">
        <w:rPr>
          <w:rFonts w:ascii="Arial" w:hAnsi="Arial" w:cs="Arial"/>
          <w:sz w:val="20"/>
          <w:szCs w:val="20"/>
        </w:rPr>
        <w:t>Patients can choose to re-enter an NHS pathway at any point in their diagnostic / treatment pathway.  All Trusts should have mechanisms to receive referrals from private practice and apply cancer clocks in accordance with CWT guidelines</w:t>
      </w:r>
    </w:p>
    <w:p w14:paraId="2EFDB46D" w14:textId="77777777" w:rsidR="00972E42" w:rsidRPr="00054010" w:rsidRDefault="00972E42" w:rsidP="00972E42"/>
    <w:p w14:paraId="193A6A72" w14:textId="77777777" w:rsidR="00972E42" w:rsidRPr="00054010" w:rsidRDefault="00972E42" w:rsidP="00972E42">
      <w:pPr>
        <w:spacing w:after="200" w:line="360" w:lineRule="auto"/>
        <w:jc w:val="both"/>
        <w:rPr>
          <w:rFonts w:ascii="Arial" w:hAnsi="Arial" w:cs="Arial"/>
          <w:sz w:val="20"/>
          <w:szCs w:val="20"/>
          <w:lang w:eastAsia="en-GB"/>
        </w:rPr>
      </w:pPr>
    </w:p>
    <w:p w14:paraId="71125BAC" w14:textId="3985A082" w:rsidR="00972E42" w:rsidRPr="00054010" w:rsidRDefault="002E3EC5" w:rsidP="002E3EC5">
      <w:pPr>
        <w:pStyle w:val="Heading2"/>
        <w:numPr>
          <w:ilvl w:val="1"/>
          <w:numId w:val="28"/>
        </w:numPr>
        <w:spacing w:before="0" w:after="200" w:line="360" w:lineRule="auto"/>
        <w:jc w:val="both"/>
        <w:rPr>
          <w:rFonts w:ascii="Arial" w:hAnsi="Arial" w:cs="Arial"/>
          <w:color w:val="0070C0"/>
          <w:sz w:val="24"/>
          <w:szCs w:val="24"/>
        </w:rPr>
      </w:pPr>
      <w:bookmarkStart w:id="5" w:name="_Toc195017965"/>
      <w:r w:rsidRPr="00054010">
        <w:rPr>
          <w:rFonts w:ascii="Arial" w:hAnsi="Arial" w:cs="Arial"/>
          <w:sz w:val="20"/>
          <w:szCs w:val="20"/>
        </w:rPr>
        <w:t xml:space="preserve"> </w:t>
      </w:r>
      <w:r w:rsidR="00972E42" w:rsidRPr="00054010">
        <w:rPr>
          <w:rFonts w:ascii="Arial" w:hAnsi="Arial" w:cs="Arial"/>
          <w:color w:val="0070C0"/>
          <w:sz w:val="24"/>
          <w:szCs w:val="24"/>
        </w:rPr>
        <w:t>Consultant Upgrades</w:t>
      </w:r>
      <w:bookmarkEnd w:id="5"/>
    </w:p>
    <w:p w14:paraId="6853C187" w14:textId="77777777" w:rsidR="00972E42" w:rsidRPr="00054010" w:rsidRDefault="00972E42" w:rsidP="00972E42">
      <w:pPr>
        <w:pStyle w:val="Title"/>
        <w:spacing w:after="200" w:line="360" w:lineRule="auto"/>
        <w:jc w:val="both"/>
        <w:rPr>
          <w:rFonts w:ascii="Arial" w:hAnsi="Arial" w:cs="Arial"/>
          <w:b/>
          <w:sz w:val="20"/>
          <w:szCs w:val="20"/>
        </w:rPr>
      </w:pPr>
    </w:p>
    <w:p w14:paraId="7034558C" w14:textId="77777777" w:rsidR="00972E42" w:rsidRPr="00054010" w:rsidRDefault="00972E42" w:rsidP="002E3EC5">
      <w:pPr>
        <w:pStyle w:val="Title"/>
        <w:spacing w:after="200" w:line="360" w:lineRule="auto"/>
        <w:jc w:val="both"/>
        <w:rPr>
          <w:rFonts w:ascii="Arial" w:hAnsi="Arial" w:cs="Arial"/>
          <w:b/>
          <w:sz w:val="20"/>
          <w:szCs w:val="20"/>
        </w:rPr>
      </w:pPr>
      <w:r w:rsidRPr="00054010">
        <w:rPr>
          <w:rFonts w:ascii="Arial" w:hAnsi="Arial" w:cs="Arial"/>
          <w:sz w:val="20"/>
          <w:szCs w:val="20"/>
        </w:rPr>
        <w:t>A consultant or an authorised member of the consultant team can upgrade a patient if cancer is suspected. The date of the upgrade then starts the 62-day clock. This can happen at any point prior to the patient being listed on a Cancer MDT, and should be at the first suspicion of cancer.  I.e.</w:t>
      </w:r>
    </w:p>
    <w:p w14:paraId="22C2BF37" w14:textId="77777777" w:rsidR="00972E42" w:rsidRPr="00054010" w:rsidRDefault="00972E42" w:rsidP="002E3EC5">
      <w:pPr>
        <w:pStyle w:val="Title"/>
        <w:spacing w:after="0" w:line="360" w:lineRule="auto"/>
        <w:jc w:val="both"/>
        <w:rPr>
          <w:rFonts w:ascii="Arial" w:hAnsi="Arial" w:cs="Arial"/>
          <w:b/>
          <w:sz w:val="20"/>
          <w:szCs w:val="20"/>
        </w:rPr>
      </w:pPr>
    </w:p>
    <w:p w14:paraId="242E756D" w14:textId="052A298C" w:rsidR="00972E42" w:rsidRPr="00054010" w:rsidRDefault="00972E42" w:rsidP="002E3EC5">
      <w:pPr>
        <w:pStyle w:val="Title"/>
        <w:numPr>
          <w:ilvl w:val="0"/>
          <w:numId w:val="18"/>
        </w:numPr>
        <w:spacing w:after="0" w:line="360" w:lineRule="auto"/>
        <w:contextualSpacing w:val="0"/>
        <w:jc w:val="both"/>
        <w:rPr>
          <w:rFonts w:ascii="Arial" w:hAnsi="Arial" w:cs="Arial"/>
          <w:b/>
          <w:sz w:val="20"/>
          <w:szCs w:val="20"/>
        </w:rPr>
      </w:pPr>
      <w:r w:rsidRPr="00054010">
        <w:rPr>
          <w:rFonts w:ascii="Arial" w:hAnsi="Arial" w:cs="Arial"/>
          <w:sz w:val="20"/>
          <w:szCs w:val="20"/>
        </w:rPr>
        <w:t>when triaging a routine referral</w:t>
      </w:r>
    </w:p>
    <w:p w14:paraId="255BA546" w14:textId="77777777" w:rsidR="00972E42" w:rsidRPr="00054010" w:rsidRDefault="00972E42" w:rsidP="002E3EC5">
      <w:pPr>
        <w:pStyle w:val="Title"/>
        <w:numPr>
          <w:ilvl w:val="0"/>
          <w:numId w:val="18"/>
        </w:numPr>
        <w:spacing w:after="0" w:line="360" w:lineRule="auto"/>
        <w:contextualSpacing w:val="0"/>
        <w:jc w:val="both"/>
        <w:rPr>
          <w:rFonts w:ascii="Arial" w:hAnsi="Arial" w:cs="Arial"/>
          <w:b/>
          <w:sz w:val="20"/>
          <w:szCs w:val="20"/>
        </w:rPr>
      </w:pPr>
      <w:r w:rsidRPr="00054010">
        <w:rPr>
          <w:rFonts w:ascii="Arial" w:hAnsi="Arial" w:cs="Arial"/>
          <w:sz w:val="20"/>
          <w:szCs w:val="20"/>
        </w:rPr>
        <w:t>after seeing the patient for the first time as a routine patient</w:t>
      </w:r>
    </w:p>
    <w:p w14:paraId="47E03DA1" w14:textId="77777777" w:rsidR="00972E42" w:rsidRPr="00054010" w:rsidRDefault="00972E42" w:rsidP="002E3EC5">
      <w:pPr>
        <w:pStyle w:val="Title"/>
        <w:numPr>
          <w:ilvl w:val="0"/>
          <w:numId w:val="18"/>
        </w:numPr>
        <w:spacing w:after="0" w:line="360" w:lineRule="auto"/>
        <w:contextualSpacing w:val="0"/>
        <w:jc w:val="both"/>
        <w:rPr>
          <w:rFonts w:ascii="Arial" w:hAnsi="Arial" w:cs="Arial"/>
          <w:sz w:val="20"/>
          <w:szCs w:val="20"/>
        </w:rPr>
      </w:pPr>
      <w:r w:rsidRPr="00054010">
        <w:rPr>
          <w:rFonts w:ascii="Arial" w:hAnsi="Arial" w:cs="Arial"/>
          <w:sz w:val="20"/>
          <w:szCs w:val="20"/>
        </w:rPr>
        <w:t>after a diagnostic test</w:t>
      </w:r>
    </w:p>
    <w:p w14:paraId="00A9231B" w14:textId="2193F180" w:rsidR="00972E42" w:rsidRPr="00054010" w:rsidRDefault="002E3EC5" w:rsidP="002E3EC5">
      <w:pPr>
        <w:pStyle w:val="ListParagraph"/>
        <w:numPr>
          <w:ilvl w:val="0"/>
          <w:numId w:val="18"/>
        </w:numPr>
        <w:spacing w:after="0" w:line="360" w:lineRule="auto"/>
        <w:jc w:val="both"/>
        <w:rPr>
          <w:rFonts w:ascii="Arial" w:hAnsi="Arial" w:cs="Arial"/>
          <w:sz w:val="20"/>
          <w:szCs w:val="20"/>
        </w:rPr>
      </w:pPr>
      <w:r w:rsidRPr="00054010">
        <w:rPr>
          <w:rFonts w:ascii="Arial" w:hAnsi="Arial" w:cs="Arial"/>
          <w:sz w:val="20"/>
          <w:szCs w:val="20"/>
        </w:rPr>
        <w:t xml:space="preserve">As a new requirement in CWT V12.1 </w:t>
      </w:r>
      <w:r w:rsidR="00972E42" w:rsidRPr="00054010">
        <w:rPr>
          <w:rFonts w:ascii="Arial" w:hAnsi="Arial" w:cs="Arial"/>
          <w:sz w:val="20"/>
          <w:szCs w:val="20"/>
        </w:rPr>
        <w:t>When an abnormal radiology or histopathology report is generated</w:t>
      </w:r>
    </w:p>
    <w:p w14:paraId="73B47F93" w14:textId="77777777" w:rsidR="00972E42" w:rsidRPr="00054010" w:rsidRDefault="00972E42" w:rsidP="002E3EC5">
      <w:pPr>
        <w:pStyle w:val="Title"/>
        <w:spacing w:after="200" w:line="360" w:lineRule="auto"/>
        <w:jc w:val="both"/>
        <w:rPr>
          <w:rFonts w:ascii="Arial" w:hAnsi="Arial" w:cs="Arial"/>
          <w:b/>
          <w:sz w:val="20"/>
          <w:szCs w:val="20"/>
        </w:rPr>
      </w:pPr>
    </w:p>
    <w:p w14:paraId="6E8F1027" w14:textId="288A491A" w:rsidR="00972E42" w:rsidRPr="00054010" w:rsidRDefault="00972E42" w:rsidP="002E3EC5">
      <w:pPr>
        <w:pStyle w:val="Title"/>
        <w:spacing w:after="200" w:line="360" w:lineRule="auto"/>
        <w:jc w:val="both"/>
        <w:rPr>
          <w:rFonts w:ascii="Arial" w:hAnsi="Arial" w:cs="Arial"/>
          <w:b/>
          <w:sz w:val="20"/>
          <w:szCs w:val="20"/>
        </w:rPr>
      </w:pPr>
      <w:r w:rsidRPr="00054010">
        <w:rPr>
          <w:rFonts w:ascii="Arial" w:hAnsi="Arial" w:cs="Arial"/>
          <w:sz w:val="20"/>
          <w:szCs w:val="20"/>
        </w:rPr>
        <w:t>The patient and the GP should be informed of the upgrade</w:t>
      </w:r>
      <w:r w:rsidR="002E3EC5" w:rsidRPr="00054010">
        <w:rPr>
          <w:rFonts w:ascii="Arial" w:hAnsi="Arial" w:cs="Arial"/>
          <w:sz w:val="20"/>
          <w:szCs w:val="20"/>
        </w:rPr>
        <w:t xml:space="preserve"> at an appropriate point dependent on the mechanism of upgrade.  </w:t>
      </w:r>
    </w:p>
    <w:p w14:paraId="016BA72D" w14:textId="77777777" w:rsidR="00972E42" w:rsidRPr="00054010" w:rsidRDefault="00972E42" w:rsidP="002E3EC5">
      <w:pPr>
        <w:spacing w:after="200" w:line="360" w:lineRule="auto"/>
        <w:jc w:val="both"/>
        <w:rPr>
          <w:rFonts w:ascii="Arial" w:hAnsi="Arial" w:cs="Arial"/>
          <w:sz w:val="20"/>
          <w:szCs w:val="20"/>
          <w:lang w:eastAsia="en-GB"/>
        </w:rPr>
      </w:pPr>
    </w:p>
    <w:p w14:paraId="44F80643" w14:textId="77777777" w:rsidR="00972E42" w:rsidRPr="00054010" w:rsidRDefault="00972E42" w:rsidP="00972E42"/>
    <w:p w14:paraId="6794A3D1" w14:textId="7EA56042" w:rsidR="00236C44" w:rsidRPr="00054010" w:rsidRDefault="002E3EC5" w:rsidP="00033806">
      <w:pPr>
        <w:pStyle w:val="Heading2"/>
        <w:numPr>
          <w:ilvl w:val="0"/>
          <w:numId w:val="29"/>
        </w:numPr>
        <w:spacing w:before="0" w:after="200" w:line="360" w:lineRule="auto"/>
        <w:jc w:val="both"/>
        <w:rPr>
          <w:rFonts w:ascii="Arial" w:hAnsi="Arial" w:cs="Arial"/>
          <w:color w:val="0070C0"/>
          <w:sz w:val="24"/>
          <w:szCs w:val="24"/>
        </w:rPr>
      </w:pPr>
      <w:bookmarkStart w:id="6" w:name="_Toc195017967"/>
      <w:r w:rsidRPr="00054010">
        <w:rPr>
          <w:rFonts w:ascii="Arial" w:hAnsi="Arial" w:cs="Arial"/>
          <w:color w:val="0070C0"/>
          <w:sz w:val="24"/>
          <w:szCs w:val="24"/>
        </w:rPr>
        <w:t xml:space="preserve">  </w:t>
      </w:r>
      <w:r w:rsidR="00236C44" w:rsidRPr="00054010">
        <w:rPr>
          <w:rFonts w:ascii="Arial" w:hAnsi="Arial" w:cs="Arial"/>
          <w:color w:val="0070C0"/>
          <w:sz w:val="24"/>
          <w:szCs w:val="24"/>
        </w:rPr>
        <w:t>Pat</w:t>
      </w:r>
      <w:r w:rsidRPr="00054010">
        <w:rPr>
          <w:rFonts w:ascii="Arial" w:hAnsi="Arial" w:cs="Arial"/>
          <w:color w:val="0070C0"/>
          <w:sz w:val="24"/>
          <w:szCs w:val="24"/>
        </w:rPr>
        <w:t xml:space="preserve">hway Management </w:t>
      </w:r>
      <w:bookmarkEnd w:id="6"/>
    </w:p>
    <w:p w14:paraId="17552D83" w14:textId="1B77044E" w:rsidR="009056AF" w:rsidRPr="00054010" w:rsidRDefault="009056AF" w:rsidP="009056AF">
      <w:pPr>
        <w:spacing w:after="200" w:line="360" w:lineRule="auto"/>
        <w:jc w:val="both"/>
        <w:rPr>
          <w:rFonts w:ascii="Arial" w:hAnsi="Arial" w:cs="Arial"/>
          <w:sz w:val="20"/>
          <w:szCs w:val="20"/>
        </w:rPr>
      </w:pPr>
      <w:r w:rsidRPr="00054010">
        <w:rPr>
          <w:rFonts w:ascii="Arial" w:hAnsi="Arial" w:cs="Arial"/>
          <w:sz w:val="20"/>
          <w:szCs w:val="20"/>
        </w:rPr>
        <w:t xml:space="preserve">Patients suspected with or following a cancer diagnosis should have expedited diagnostic </w:t>
      </w:r>
      <w:r w:rsidR="002E3EC5" w:rsidRPr="00054010">
        <w:rPr>
          <w:rFonts w:ascii="Arial" w:hAnsi="Arial" w:cs="Arial"/>
          <w:sz w:val="20"/>
          <w:szCs w:val="20"/>
        </w:rPr>
        <w:t xml:space="preserve">and treatment </w:t>
      </w:r>
      <w:r w:rsidRPr="00054010">
        <w:rPr>
          <w:rFonts w:ascii="Arial" w:hAnsi="Arial" w:cs="Arial"/>
          <w:sz w:val="20"/>
          <w:szCs w:val="20"/>
        </w:rPr>
        <w:t xml:space="preserve">pathways.  Waiting times should reflect the national Best Practice Timed pathways, aligning to delivery of 28-day Faster </w:t>
      </w:r>
      <w:r w:rsidR="00054010" w:rsidRPr="00054010">
        <w:rPr>
          <w:rFonts w:ascii="Arial" w:hAnsi="Arial" w:cs="Arial"/>
          <w:sz w:val="20"/>
          <w:szCs w:val="20"/>
        </w:rPr>
        <w:t>Diagnosis</w:t>
      </w:r>
      <w:r w:rsidRPr="00054010">
        <w:rPr>
          <w:rFonts w:ascii="Arial" w:hAnsi="Arial" w:cs="Arial"/>
          <w:sz w:val="20"/>
          <w:szCs w:val="20"/>
        </w:rPr>
        <w:t xml:space="preserve"> Standard (FDS), 62 day RTT and 31 day DTT standards.  The milestones for each pathway test can be found : </w:t>
      </w:r>
      <w:hyperlink r:id="rId6" w:history="1">
        <w:r w:rsidRPr="00054010">
          <w:rPr>
            <w:rStyle w:val="Hyperlink"/>
            <w:rFonts w:ascii="Arial" w:hAnsi="Arial" w:cs="Arial"/>
            <w:sz w:val="20"/>
            <w:szCs w:val="20"/>
          </w:rPr>
          <w:t>NHS England » Rapid cancer diagnostic and assessment pathways</w:t>
        </w:r>
      </w:hyperlink>
      <w:r w:rsidRPr="00054010">
        <w:rPr>
          <w:rFonts w:ascii="Arial" w:hAnsi="Arial" w:cs="Arial"/>
          <w:sz w:val="20"/>
          <w:szCs w:val="20"/>
        </w:rPr>
        <w:t xml:space="preserve">  Cancer pathways are recorded in calendar days, not working days, with Day 0 being the day the referral is </w:t>
      </w:r>
      <w:r w:rsidR="002E3EC5" w:rsidRPr="00054010">
        <w:rPr>
          <w:rFonts w:ascii="Arial" w:hAnsi="Arial" w:cs="Arial"/>
          <w:sz w:val="20"/>
          <w:szCs w:val="20"/>
        </w:rPr>
        <w:t>received</w:t>
      </w:r>
      <w:r w:rsidRPr="00054010">
        <w:rPr>
          <w:rFonts w:ascii="Arial" w:hAnsi="Arial" w:cs="Arial"/>
          <w:sz w:val="20"/>
          <w:szCs w:val="20"/>
        </w:rPr>
        <w:t xml:space="preserve">.  Providers of local and specialist diagnostics (including staging) should be able to report on their wait times for request to test and test to report for all </w:t>
      </w:r>
      <w:r w:rsidR="002E3EC5" w:rsidRPr="00054010">
        <w:rPr>
          <w:rFonts w:ascii="Arial" w:hAnsi="Arial" w:cs="Arial"/>
          <w:sz w:val="20"/>
          <w:szCs w:val="20"/>
        </w:rPr>
        <w:t>diagnostics</w:t>
      </w:r>
      <w:r w:rsidRPr="00054010">
        <w:rPr>
          <w:rFonts w:ascii="Arial" w:hAnsi="Arial" w:cs="Arial"/>
          <w:sz w:val="20"/>
          <w:szCs w:val="20"/>
        </w:rPr>
        <w:t xml:space="preserve">.  Trusts should be able to distinguish between active pathways, and post treatment follow up pathways where timely tests are essential, but not at the level required </w:t>
      </w:r>
      <w:r w:rsidR="00054010" w:rsidRPr="00054010">
        <w:rPr>
          <w:rFonts w:ascii="Arial" w:hAnsi="Arial" w:cs="Arial"/>
          <w:sz w:val="20"/>
          <w:szCs w:val="20"/>
        </w:rPr>
        <w:t>for</w:t>
      </w:r>
      <w:r w:rsidRPr="00054010">
        <w:rPr>
          <w:rFonts w:ascii="Arial" w:hAnsi="Arial" w:cs="Arial"/>
          <w:sz w:val="20"/>
          <w:szCs w:val="20"/>
        </w:rPr>
        <w:t xml:space="preserve"> </w:t>
      </w:r>
      <w:r w:rsidR="00054010" w:rsidRPr="00054010">
        <w:rPr>
          <w:rFonts w:ascii="Arial" w:hAnsi="Arial" w:cs="Arial"/>
          <w:sz w:val="20"/>
          <w:szCs w:val="20"/>
        </w:rPr>
        <w:t>patients</w:t>
      </w:r>
      <w:r w:rsidRPr="00054010">
        <w:rPr>
          <w:rFonts w:ascii="Arial" w:hAnsi="Arial" w:cs="Arial"/>
          <w:sz w:val="20"/>
          <w:szCs w:val="20"/>
        </w:rPr>
        <w:t xml:space="preserve"> suspected of a new cancer or recurrence.</w:t>
      </w:r>
    </w:p>
    <w:p w14:paraId="4C5D74D2" w14:textId="77777777" w:rsidR="00236C44" w:rsidRPr="00054010" w:rsidRDefault="00236C44" w:rsidP="00033806">
      <w:pPr>
        <w:spacing w:after="200" w:line="360" w:lineRule="auto"/>
        <w:jc w:val="both"/>
        <w:rPr>
          <w:rFonts w:ascii="Arial" w:hAnsi="Arial" w:cs="Arial"/>
          <w:sz w:val="20"/>
          <w:szCs w:val="20"/>
          <w:lang w:eastAsia="en-GB"/>
        </w:rPr>
      </w:pPr>
    </w:p>
    <w:p w14:paraId="11977C6B" w14:textId="6A47DC41" w:rsidR="00236C44" w:rsidRPr="00054010" w:rsidRDefault="0014662D" w:rsidP="0014662D">
      <w:pPr>
        <w:pStyle w:val="Heading2"/>
        <w:numPr>
          <w:ilvl w:val="1"/>
          <w:numId w:val="29"/>
        </w:numPr>
        <w:spacing w:before="0" w:after="200" w:line="360" w:lineRule="auto"/>
        <w:ind w:left="357" w:hanging="357"/>
        <w:jc w:val="both"/>
        <w:rPr>
          <w:rFonts w:ascii="Arial" w:hAnsi="Arial" w:cs="Arial"/>
          <w:sz w:val="24"/>
          <w:szCs w:val="24"/>
        </w:rPr>
      </w:pPr>
      <w:bookmarkStart w:id="7" w:name="_Toc195017968"/>
      <w:r w:rsidRPr="00054010">
        <w:rPr>
          <w:rFonts w:ascii="Arial" w:hAnsi="Arial" w:cs="Arial"/>
          <w:sz w:val="20"/>
          <w:szCs w:val="20"/>
        </w:rPr>
        <w:t xml:space="preserve">     </w:t>
      </w:r>
      <w:r w:rsidR="00236C44" w:rsidRPr="00054010">
        <w:rPr>
          <w:rFonts w:ascii="Arial" w:hAnsi="Arial" w:cs="Arial"/>
          <w:color w:val="0070C0"/>
          <w:sz w:val="24"/>
          <w:szCs w:val="24"/>
        </w:rPr>
        <w:t xml:space="preserve">Reasonable </w:t>
      </w:r>
      <w:r w:rsidRPr="00054010">
        <w:rPr>
          <w:rFonts w:ascii="Arial" w:hAnsi="Arial" w:cs="Arial"/>
          <w:color w:val="0070C0"/>
          <w:sz w:val="24"/>
          <w:szCs w:val="24"/>
        </w:rPr>
        <w:t>o</w:t>
      </w:r>
      <w:r w:rsidR="00236C44" w:rsidRPr="00054010">
        <w:rPr>
          <w:rFonts w:ascii="Arial" w:hAnsi="Arial" w:cs="Arial"/>
          <w:color w:val="0070C0"/>
          <w:sz w:val="24"/>
          <w:szCs w:val="24"/>
        </w:rPr>
        <w:t>ffer</w:t>
      </w:r>
      <w:r w:rsidRPr="00054010">
        <w:rPr>
          <w:rFonts w:ascii="Arial" w:hAnsi="Arial" w:cs="Arial"/>
          <w:color w:val="0070C0"/>
          <w:sz w:val="24"/>
          <w:szCs w:val="24"/>
        </w:rPr>
        <w:t xml:space="preserve"> guidance </w:t>
      </w:r>
      <w:r w:rsidR="00236C44" w:rsidRPr="00054010">
        <w:rPr>
          <w:rFonts w:ascii="Arial" w:hAnsi="Arial" w:cs="Arial"/>
          <w:color w:val="0070C0"/>
          <w:sz w:val="24"/>
          <w:szCs w:val="24"/>
        </w:rPr>
        <w:t xml:space="preserve">for </w:t>
      </w:r>
      <w:bookmarkEnd w:id="7"/>
      <w:r w:rsidRPr="00054010">
        <w:rPr>
          <w:rFonts w:ascii="Arial" w:hAnsi="Arial" w:cs="Arial"/>
          <w:color w:val="0070C0"/>
          <w:sz w:val="24"/>
          <w:szCs w:val="24"/>
        </w:rPr>
        <w:t>patients on cancer pathways</w:t>
      </w:r>
    </w:p>
    <w:p w14:paraId="643A99F8" w14:textId="1F6A5F39" w:rsidR="0014662D" w:rsidRPr="00054010" w:rsidRDefault="00236C44" w:rsidP="00F10BCD">
      <w:pPr>
        <w:pStyle w:val="Title"/>
        <w:spacing w:after="200" w:line="360" w:lineRule="auto"/>
        <w:jc w:val="both"/>
        <w:rPr>
          <w:rFonts w:ascii="Arial" w:hAnsi="Arial" w:cs="Arial"/>
          <w:sz w:val="20"/>
          <w:szCs w:val="20"/>
        </w:rPr>
      </w:pPr>
      <w:r w:rsidRPr="00054010">
        <w:rPr>
          <w:rFonts w:ascii="Arial" w:hAnsi="Arial" w:cs="Arial"/>
          <w:sz w:val="20"/>
          <w:szCs w:val="20"/>
        </w:rPr>
        <w:t xml:space="preserve">The </w:t>
      </w:r>
      <w:r w:rsidR="0014662D" w:rsidRPr="00054010">
        <w:rPr>
          <w:rFonts w:ascii="Arial" w:hAnsi="Arial" w:cs="Arial"/>
          <w:sz w:val="20"/>
          <w:szCs w:val="20"/>
        </w:rPr>
        <w:t xml:space="preserve">local </w:t>
      </w:r>
      <w:r w:rsidRPr="00054010">
        <w:rPr>
          <w:rFonts w:ascii="Arial" w:hAnsi="Arial" w:cs="Arial"/>
          <w:sz w:val="20"/>
          <w:szCs w:val="20"/>
        </w:rPr>
        <w:t xml:space="preserve">definition of reasonable notice for patients on a cancer pathway is any </w:t>
      </w:r>
      <w:r w:rsidR="00054010" w:rsidRPr="00054010">
        <w:rPr>
          <w:rFonts w:ascii="Arial" w:hAnsi="Arial" w:cs="Arial"/>
          <w:sz w:val="20"/>
          <w:szCs w:val="20"/>
        </w:rPr>
        <w:t>appointment</w:t>
      </w:r>
      <w:r w:rsidR="0014662D" w:rsidRPr="00054010">
        <w:rPr>
          <w:rFonts w:ascii="Arial" w:hAnsi="Arial" w:cs="Arial"/>
          <w:sz w:val="20"/>
          <w:szCs w:val="20"/>
        </w:rPr>
        <w:t xml:space="preserve">, test, treatment date offered with greater than 24 </w:t>
      </w:r>
      <w:r w:rsidR="00054010" w:rsidRPr="00054010">
        <w:rPr>
          <w:rFonts w:ascii="Arial" w:hAnsi="Arial" w:cs="Arial"/>
          <w:sz w:val="20"/>
          <w:szCs w:val="20"/>
        </w:rPr>
        <w:t>hours’ notice</w:t>
      </w:r>
      <w:r w:rsidR="0014662D" w:rsidRPr="00054010">
        <w:rPr>
          <w:rFonts w:ascii="Arial" w:hAnsi="Arial" w:cs="Arial"/>
          <w:sz w:val="20"/>
          <w:szCs w:val="20"/>
        </w:rPr>
        <w:t>, and communicated directly with the patient (i.e. by telephone</w:t>
      </w:r>
      <w:r w:rsidR="00201867" w:rsidRPr="00054010">
        <w:rPr>
          <w:rFonts w:ascii="Arial" w:hAnsi="Arial" w:cs="Arial"/>
          <w:sz w:val="20"/>
          <w:szCs w:val="20"/>
        </w:rPr>
        <w:t xml:space="preserve"> or booking the next attendance at an appointment</w:t>
      </w:r>
      <w:r w:rsidR="0014662D" w:rsidRPr="00054010">
        <w:rPr>
          <w:rFonts w:ascii="Arial" w:hAnsi="Arial" w:cs="Arial"/>
          <w:sz w:val="20"/>
          <w:szCs w:val="20"/>
        </w:rPr>
        <w:t xml:space="preserve">). </w:t>
      </w:r>
      <w:r w:rsidRPr="00054010">
        <w:rPr>
          <w:rFonts w:ascii="Arial" w:hAnsi="Arial" w:cs="Arial"/>
          <w:sz w:val="20"/>
          <w:szCs w:val="20"/>
        </w:rPr>
        <w:t xml:space="preserve"> </w:t>
      </w:r>
      <w:r w:rsidR="0014662D" w:rsidRPr="00054010">
        <w:rPr>
          <w:rFonts w:ascii="Arial" w:hAnsi="Arial" w:cs="Arial"/>
          <w:sz w:val="20"/>
          <w:szCs w:val="20"/>
        </w:rPr>
        <w:t xml:space="preserve">Patients may not wish to attend at very short notice.  Patients’ right to choice must be observed.  </w:t>
      </w:r>
      <w:bookmarkStart w:id="8" w:name="_Toc195017969"/>
    </w:p>
    <w:p w14:paraId="0C99C95C" w14:textId="180BF113" w:rsidR="00F10BCD" w:rsidRPr="00054010" w:rsidRDefault="00F10BCD" w:rsidP="00F10BCD">
      <w:pPr>
        <w:spacing w:after="200" w:line="360" w:lineRule="auto"/>
        <w:rPr>
          <w:rFonts w:ascii="Arial" w:hAnsi="Arial" w:cs="Arial"/>
          <w:sz w:val="20"/>
          <w:szCs w:val="20"/>
        </w:rPr>
      </w:pPr>
      <w:r w:rsidRPr="00054010">
        <w:rPr>
          <w:rFonts w:ascii="Arial" w:hAnsi="Arial" w:cs="Arial"/>
          <w:sz w:val="20"/>
          <w:szCs w:val="20"/>
        </w:rPr>
        <w:t xml:space="preserve">Patient adjustments would be solely in line with CWT guidance, and should only be applied by Cancer Management teams.  </w:t>
      </w:r>
    </w:p>
    <w:p w14:paraId="09BB6156" w14:textId="77777777" w:rsidR="0014662D" w:rsidRPr="00054010" w:rsidRDefault="0014662D" w:rsidP="0014662D">
      <w:pPr>
        <w:pStyle w:val="Title"/>
        <w:spacing w:after="200" w:line="360" w:lineRule="auto"/>
        <w:jc w:val="both"/>
        <w:rPr>
          <w:rFonts w:ascii="Arial" w:hAnsi="Arial" w:cs="Arial"/>
          <w:sz w:val="20"/>
          <w:szCs w:val="20"/>
        </w:rPr>
      </w:pPr>
    </w:p>
    <w:p w14:paraId="1C5F69E5" w14:textId="635FB1C3" w:rsidR="0014662D" w:rsidRPr="00054010" w:rsidRDefault="0014662D" w:rsidP="0014662D">
      <w:pPr>
        <w:pStyle w:val="Title"/>
        <w:numPr>
          <w:ilvl w:val="1"/>
          <w:numId w:val="29"/>
        </w:numPr>
        <w:spacing w:after="200" w:line="360" w:lineRule="auto"/>
        <w:jc w:val="both"/>
        <w:rPr>
          <w:rFonts w:ascii="Arial" w:hAnsi="Arial" w:cs="Arial"/>
          <w:color w:val="0070C0"/>
          <w:sz w:val="24"/>
          <w:szCs w:val="24"/>
        </w:rPr>
      </w:pPr>
      <w:r w:rsidRPr="00054010">
        <w:rPr>
          <w:rFonts w:ascii="Arial" w:hAnsi="Arial" w:cs="Arial"/>
          <w:color w:val="0070C0"/>
          <w:sz w:val="24"/>
          <w:szCs w:val="24"/>
        </w:rPr>
        <w:t>Communication with patients on cancer pathways</w:t>
      </w:r>
    </w:p>
    <w:p w14:paraId="775E7172" w14:textId="44CBC8C3" w:rsidR="0014662D" w:rsidRPr="00054010" w:rsidRDefault="0014662D" w:rsidP="0004435F">
      <w:pPr>
        <w:spacing w:after="200" w:line="360" w:lineRule="auto"/>
        <w:jc w:val="both"/>
        <w:rPr>
          <w:rFonts w:ascii="Arial" w:hAnsi="Arial" w:cs="Arial"/>
          <w:sz w:val="20"/>
          <w:szCs w:val="20"/>
        </w:rPr>
      </w:pPr>
      <w:r w:rsidRPr="00054010">
        <w:rPr>
          <w:rFonts w:ascii="Arial" w:hAnsi="Arial" w:cs="Arial"/>
          <w:sz w:val="20"/>
          <w:szCs w:val="20"/>
        </w:rPr>
        <w:t xml:space="preserve">Patients </w:t>
      </w:r>
      <w:r w:rsidR="003C5E99" w:rsidRPr="00054010">
        <w:rPr>
          <w:rFonts w:ascii="Arial" w:hAnsi="Arial" w:cs="Arial"/>
          <w:sz w:val="20"/>
          <w:szCs w:val="20"/>
        </w:rPr>
        <w:t xml:space="preserve">must be told they are being placed on a suspected cancer pathway at the point of referral, or when being upgraded.  It is good </w:t>
      </w:r>
      <w:r w:rsidR="00054010" w:rsidRPr="00054010">
        <w:rPr>
          <w:rFonts w:ascii="Arial" w:hAnsi="Arial" w:cs="Arial"/>
          <w:sz w:val="20"/>
          <w:szCs w:val="20"/>
        </w:rPr>
        <w:t>practice</w:t>
      </w:r>
      <w:r w:rsidR="00F10BCD" w:rsidRPr="00054010">
        <w:rPr>
          <w:rFonts w:ascii="Arial" w:hAnsi="Arial" w:cs="Arial"/>
          <w:sz w:val="20"/>
          <w:szCs w:val="20"/>
        </w:rPr>
        <w:t xml:space="preserve"> to check their understanding / reiterate at their first appointment.  </w:t>
      </w:r>
    </w:p>
    <w:p w14:paraId="3DDCBCA7" w14:textId="31917B2F" w:rsidR="00F10BCD" w:rsidRPr="00054010" w:rsidRDefault="00F10BCD" w:rsidP="0004435F">
      <w:pPr>
        <w:spacing w:after="200" w:line="360" w:lineRule="auto"/>
        <w:jc w:val="both"/>
        <w:rPr>
          <w:rFonts w:ascii="Arial" w:hAnsi="Arial" w:cs="Arial"/>
          <w:sz w:val="20"/>
          <w:szCs w:val="20"/>
        </w:rPr>
      </w:pPr>
      <w:r w:rsidRPr="00054010">
        <w:rPr>
          <w:rFonts w:ascii="Arial" w:hAnsi="Arial" w:cs="Arial"/>
          <w:sz w:val="20"/>
          <w:szCs w:val="20"/>
        </w:rPr>
        <w:t xml:space="preserve">Patients should have their contact details updated / checked at each attendance to aid good communication.  Were patient apps / portals exist and patients agree this as their preferred form of communication instead of by letter patients should be advised to check the portal daily.  </w:t>
      </w:r>
      <w:r w:rsidR="0004435F" w:rsidRPr="00054010">
        <w:rPr>
          <w:rFonts w:ascii="Arial" w:hAnsi="Arial" w:cs="Arial"/>
          <w:sz w:val="20"/>
          <w:szCs w:val="20"/>
        </w:rPr>
        <w:t xml:space="preserve"> </w:t>
      </w:r>
    </w:p>
    <w:p w14:paraId="065C7ED2" w14:textId="77777777" w:rsidR="00201867" w:rsidRPr="00054010" w:rsidRDefault="00F10BCD" w:rsidP="0004435F">
      <w:pPr>
        <w:spacing w:after="200" w:line="360" w:lineRule="auto"/>
        <w:jc w:val="both"/>
        <w:rPr>
          <w:rFonts w:ascii="Arial" w:hAnsi="Arial" w:cs="Arial"/>
          <w:sz w:val="20"/>
          <w:szCs w:val="20"/>
        </w:rPr>
      </w:pPr>
      <w:r w:rsidRPr="00054010">
        <w:t xml:space="preserve">It should be standard practice that all appointments are </w:t>
      </w:r>
      <w:r w:rsidRPr="00054010">
        <w:rPr>
          <w:u w:val="single"/>
        </w:rPr>
        <w:t>agreed</w:t>
      </w:r>
      <w:r w:rsidRPr="00054010">
        <w:t xml:space="preserve"> with patients.   This includes diagnostics and treatment bookings as well as appointments</w:t>
      </w:r>
      <w:r w:rsidR="00201867" w:rsidRPr="00054010">
        <w:t xml:space="preserve">.  </w:t>
      </w:r>
      <w:r w:rsidR="00201867" w:rsidRPr="00054010">
        <w:rPr>
          <w:rFonts w:ascii="Arial" w:hAnsi="Arial" w:cs="Arial"/>
          <w:sz w:val="20"/>
          <w:szCs w:val="20"/>
        </w:rPr>
        <w:t xml:space="preserve">The use of app / portal does not replace the requirement to agree appointments, and for this telephone </w:t>
      </w:r>
      <w:r w:rsidR="00201867" w:rsidRPr="00054010">
        <w:rPr>
          <w:rFonts w:ascii="Arial" w:hAnsi="Arial" w:cs="Arial"/>
          <w:sz w:val="20"/>
          <w:szCs w:val="20"/>
        </w:rPr>
        <w:t xml:space="preserve">/ face to face booking of the next pathway step </w:t>
      </w:r>
      <w:r w:rsidR="00201867" w:rsidRPr="00054010">
        <w:rPr>
          <w:rFonts w:ascii="Arial" w:hAnsi="Arial" w:cs="Arial"/>
          <w:sz w:val="20"/>
          <w:szCs w:val="20"/>
        </w:rPr>
        <w:t>would be the primary method</w:t>
      </w:r>
      <w:r w:rsidR="00201867" w:rsidRPr="00054010">
        <w:rPr>
          <w:rFonts w:ascii="Arial" w:hAnsi="Arial" w:cs="Arial"/>
          <w:sz w:val="20"/>
          <w:szCs w:val="20"/>
        </w:rPr>
        <w:t>s</w:t>
      </w:r>
      <w:r w:rsidR="00201867" w:rsidRPr="00054010">
        <w:rPr>
          <w:rFonts w:ascii="Arial" w:hAnsi="Arial" w:cs="Arial"/>
          <w:sz w:val="20"/>
          <w:szCs w:val="20"/>
        </w:rPr>
        <w:t xml:space="preserve"> unless explicitly requested </w:t>
      </w:r>
      <w:r w:rsidR="00201867" w:rsidRPr="00054010">
        <w:rPr>
          <w:rFonts w:ascii="Arial" w:hAnsi="Arial" w:cs="Arial"/>
          <w:sz w:val="20"/>
          <w:szCs w:val="20"/>
        </w:rPr>
        <w:t>otherwise by the patient</w:t>
      </w:r>
      <w:r w:rsidR="00201867" w:rsidRPr="00054010">
        <w:rPr>
          <w:rFonts w:ascii="Arial" w:hAnsi="Arial" w:cs="Arial"/>
          <w:sz w:val="20"/>
          <w:szCs w:val="20"/>
        </w:rPr>
        <w:t>.</w:t>
      </w:r>
    </w:p>
    <w:p w14:paraId="4FF53821" w14:textId="134CB5D3" w:rsidR="00201867" w:rsidRPr="00054010" w:rsidRDefault="00201867" w:rsidP="0004435F">
      <w:pPr>
        <w:spacing w:after="200" w:line="360" w:lineRule="auto"/>
        <w:jc w:val="both"/>
        <w:rPr>
          <w:rFonts w:ascii="Arial" w:hAnsi="Arial" w:cs="Arial"/>
          <w:sz w:val="20"/>
          <w:szCs w:val="20"/>
        </w:rPr>
      </w:pPr>
      <w:r w:rsidRPr="00054010">
        <w:rPr>
          <w:rFonts w:ascii="Arial" w:hAnsi="Arial" w:cs="Arial"/>
          <w:sz w:val="20"/>
          <w:szCs w:val="20"/>
        </w:rPr>
        <w:t xml:space="preserve">Every effort should be made to agree appointments with patients.  Where the CWT describes this as several / multiple times, locally through this access policy this is defined as 3 times, at least one of these must be after 6pm in the evening, and calls must not be from a withheld number.  </w:t>
      </w:r>
    </w:p>
    <w:p w14:paraId="5103DD2E" w14:textId="2579E28E" w:rsidR="00201867" w:rsidRPr="00054010" w:rsidRDefault="00201867" w:rsidP="00201867">
      <w:pPr>
        <w:spacing w:after="200" w:line="360" w:lineRule="auto"/>
        <w:rPr>
          <w:rFonts w:ascii="Arial" w:hAnsi="Arial" w:cs="Arial"/>
          <w:sz w:val="20"/>
          <w:szCs w:val="20"/>
        </w:rPr>
      </w:pPr>
      <w:r w:rsidRPr="00054010">
        <w:rPr>
          <w:rFonts w:ascii="Arial" w:hAnsi="Arial" w:cs="Arial"/>
          <w:sz w:val="20"/>
          <w:szCs w:val="20"/>
        </w:rPr>
        <w:t xml:space="preserve">  </w:t>
      </w:r>
    </w:p>
    <w:p w14:paraId="6C2EE001" w14:textId="1C48FC63" w:rsidR="00F10BCD" w:rsidRPr="00054010" w:rsidRDefault="00F10BCD" w:rsidP="00F10BCD"/>
    <w:p w14:paraId="63398CA4" w14:textId="3BDE7C8C" w:rsidR="00236C44" w:rsidRPr="00054010" w:rsidRDefault="0014662D" w:rsidP="0014662D">
      <w:pPr>
        <w:pStyle w:val="Title"/>
        <w:spacing w:after="200" w:line="360" w:lineRule="auto"/>
        <w:jc w:val="both"/>
        <w:rPr>
          <w:rFonts w:ascii="Arial" w:hAnsi="Arial" w:cs="Arial"/>
          <w:color w:val="0070C0"/>
          <w:sz w:val="24"/>
          <w:szCs w:val="24"/>
        </w:rPr>
      </w:pPr>
      <w:r w:rsidRPr="00054010">
        <w:rPr>
          <w:rFonts w:ascii="Arial" w:hAnsi="Arial" w:cs="Arial"/>
          <w:color w:val="0070C0"/>
          <w:sz w:val="20"/>
          <w:szCs w:val="20"/>
        </w:rPr>
        <w:t>3.</w:t>
      </w:r>
      <w:r w:rsidR="0004435F" w:rsidRPr="00054010">
        <w:rPr>
          <w:rFonts w:ascii="Arial" w:hAnsi="Arial" w:cs="Arial"/>
          <w:color w:val="0070C0"/>
          <w:sz w:val="20"/>
          <w:szCs w:val="20"/>
        </w:rPr>
        <w:t>3</w:t>
      </w:r>
      <w:r w:rsidRPr="00054010">
        <w:rPr>
          <w:rFonts w:ascii="Arial" w:hAnsi="Arial" w:cs="Arial"/>
          <w:sz w:val="20"/>
          <w:szCs w:val="20"/>
        </w:rPr>
        <w:tab/>
      </w:r>
      <w:r w:rsidR="00236C44" w:rsidRPr="00054010">
        <w:rPr>
          <w:rFonts w:ascii="Arial" w:hAnsi="Arial" w:cs="Arial"/>
          <w:color w:val="0070C0"/>
          <w:sz w:val="24"/>
          <w:szCs w:val="24"/>
        </w:rPr>
        <w:t>Patient Cancellations/Missed Appointments</w:t>
      </w:r>
      <w:bookmarkEnd w:id="8"/>
    </w:p>
    <w:p w14:paraId="6CB6C491" w14:textId="77777777" w:rsidR="00236C44" w:rsidRPr="00054010" w:rsidRDefault="00236C44" w:rsidP="00033806">
      <w:pPr>
        <w:pStyle w:val="Title"/>
        <w:spacing w:after="200" w:line="360" w:lineRule="auto"/>
        <w:jc w:val="both"/>
        <w:rPr>
          <w:rFonts w:ascii="Arial" w:hAnsi="Arial" w:cs="Arial"/>
          <w:b/>
          <w:bCs/>
          <w:sz w:val="20"/>
          <w:szCs w:val="20"/>
        </w:rPr>
      </w:pPr>
    </w:p>
    <w:p w14:paraId="52B5F6A7" w14:textId="5170F7EE" w:rsidR="0004435F" w:rsidRPr="00054010" w:rsidRDefault="0004435F" w:rsidP="0004435F">
      <w:r w:rsidRPr="00054010">
        <w:t>Patients may cancel appointments, fail to attend for appointments or make themselves unavailable.  Patient pathways must be managed with the patients best interest in mind.</w:t>
      </w:r>
    </w:p>
    <w:p w14:paraId="515D1322" w14:textId="0295C741" w:rsidR="0004435F" w:rsidRPr="00054010" w:rsidRDefault="0004435F" w:rsidP="00D32782">
      <w:pPr>
        <w:spacing w:after="200" w:line="360" w:lineRule="auto"/>
        <w:jc w:val="both"/>
        <w:rPr>
          <w:rFonts w:ascii="Arial" w:hAnsi="Arial" w:cs="Arial"/>
          <w:sz w:val="20"/>
          <w:szCs w:val="20"/>
        </w:rPr>
      </w:pPr>
      <w:r w:rsidRPr="00054010">
        <w:rPr>
          <w:rFonts w:ascii="Arial" w:hAnsi="Arial" w:cs="Arial"/>
          <w:sz w:val="20"/>
          <w:szCs w:val="20"/>
        </w:rPr>
        <w:t xml:space="preserve">Where a patient does not attend (DNA’s) their first attendance (appointment or test) the clock MAY be re-started, in line with explicit CWT guidance if the appointment had been agreed with the patient.  </w:t>
      </w:r>
      <w:r w:rsidR="00D32782" w:rsidRPr="00054010">
        <w:rPr>
          <w:rFonts w:ascii="Arial" w:hAnsi="Arial" w:cs="Arial"/>
          <w:sz w:val="20"/>
          <w:szCs w:val="20"/>
        </w:rPr>
        <w:t xml:space="preserve"> All initial DNAs, even when agreed MUST be rebooked.  </w:t>
      </w:r>
    </w:p>
    <w:p w14:paraId="3A9FDC5F" w14:textId="7E36686D" w:rsidR="00236C44" w:rsidRPr="00054010" w:rsidRDefault="00D32782" w:rsidP="00D32782">
      <w:pPr>
        <w:spacing w:after="200" w:line="360" w:lineRule="auto"/>
        <w:jc w:val="both"/>
        <w:rPr>
          <w:rFonts w:ascii="Arial" w:hAnsi="Arial" w:cs="Arial"/>
          <w:b/>
          <w:bCs/>
          <w:sz w:val="20"/>
          <w:szCs w:val="20"/>
        </w:rPr>
      </w:pPr>
      <w:r w:rsidRPr="00054010">
        <w:rPr>
          <w:rFonts w:ascii="Arial" w:hAnsi="Arial" w:cs="Arial"/>
          <w:sz w:val="20"/>
          <w:szCs w:val="20"/>
        </w:rPr>
        <w:lastRenderedPageBreak/>
        <w:t xml:space="preserve">If a patient misses (DNAs) their first appointment twice, and both have been agreed with the patient </w:t>
      </w:r>
      <w:r w:rsidR="00236C44" w:rsidRPr="00054010">
        <w:rPr>
          <w:rFonts w:ascii="Arial" w:hAnsi="Arial" w:cs="Arial"/>
          <w:sz w:val="20"/>
          <w:szCs w:val="20"/>
        </w:rPr>
        <w:t xml:space="preserve">their case should be reviewed by a clinician to decide on the best course of action for the patient, this may mean </w:t>
      </w:r>
      <w:proofErr w:type="gramStart"/>
      <w:r w:rsidR="00236C44" w:rsidRPr="00054010">
        <w:rPr>
          <w:rFonts w:ascii="Arial" w:hAnsi="Arial" w:cs="Arial"/>
          <w:sz w:val="20"/>
          <w:szCs w:val="20"/>
        </w:rPr>
        <w:t>referring back</w:t>
      </w:r>
      <w:proofErr w:type="gramEnd"/>
      <w:r w:rsidR="00236C44" w:rsidRPr="00054010">
        <w:rPr>
          <w:rFonts w:ascii="Arial" w:hAnsi="Arial" w:cs="Arial"/>
          <w:sz w:val="20"/>
          <w:szCs w:val="20"/>
        </w:rPr>
        <w:t xml:space="preserve"> to the GP but, only when this is deemed to be in their best clinical interest. </w:t>
      </w:r>
    </w:p>
    <w:p w14:paraId="21D5FF5B" w14:textId="67BAABC2" w:rsidR="00236C44" w:rsidRPr="00054010" w:rsidRDefault="00236C44" w:rsidP="00D32782">
      <w:pPr>
        <w:pStyle w:val="Title"/>
        <w:spacing w:after="200" w:line="360" w:lineRule="auto"/>
        <w:jc w:val="both"/>
        <w:rPr>
          <w:rFonts w:ascii="Arial" w:hAnsi="Arial" w:cs="Arial"/>
          <w:sz w:val="20"/>
          <w:szCs w:val="20"/>
        </w:rPr>
      </w:pPr>
      <w:r w:rsidRPr="00054010">
        <w:rPr>
          <w:rFonts w:ascii="Arial" w:hAnsi="Arial" w:cs="Arial"/>
          <w:sz w:val="20"/>
          <w:szCs w:val="20"/>
        </w:rPr>
        <w:t>Such decisions should be made by the responsible clinician on an individual patient basis. A provider will need to demonstrate that they have made every reasonable effort to communicate the appointments before discharging the patient.</w:t>
      </w:r>
      <w:r w:rsidR="00D32782" w:rsidRPr="00054010">
        <w:rPr>
          <w:rFonts w:ascii="Arial" w:hAnsi="Arial" w:cs="Arial"/>
          <w:sz w:val="20"/>
          <w:szCs w:val="20"/>
        </w:rPr>
        <w:t xml:space="preserve">  If a patient cannot be contacted at all by </w:t>
      </w:r>
      <w:r w:rsidR="00054010" w:rsidRPr="00054010">
        <w:rPr>
          <w:rFonts w:ascii="Arial" w:hAnsi="Arial" w:cs="Arial"/>
          <w:sz w:val="20"/>
          <w:szCs w:val="20"/>
        </w:rPr>
        <w:t>telephone</w:t>
      </w:r>
      <w:r w:rsidR="00D32782" w:rsidRPr="00054010">
        <w:rPr>
          <w:rFonts w:ascii="Arial" w:hAnsi="Arial" w:cs="Arial"/>
          <w:sz w:val="20"/>
          <w:szCs w:val="20"/>
        </w:rPr>
        <w:t>, it should allow 7 days for a letter from the date posted, or 48 hours for messaging via a portal / app to be deemed ‘reasonable efforts to communicate.  The referrer should be contacted to aid in reaching the patient.</w:t>
      </w:r>
    </w:p>
    <w:p w14:paraId="01D70FFE" w14:textId="77777777" w:rsidR="00D32782" w:rsidRPr="00054010" w:rsidRDefault="00D32782" w:rsidP="00D32782">
      <w:pPr>
        <w:pStyle w:val="Heading2"/>
        <w:spacing w:before="0" w:after="200" w:line="360" w:lineRule="auto"/>
        <w:jc w:val="both"/>
        <w:rPr>
          <w:rFonts w:ascii="Arial" w:hAnsi="Arial" w:cs="Arial"/>
          <w:sz w:val="20"/>
          <w:szCs w:val="20"/>
        </w:rPr>
      </w:pPr>
      <w:bookmarkStart w:id="9" w:name="_Toc195017970"/>
    </w:p>
    <w:p w14:paraId="29B20D8B" w14:textId="30E76DDB" w:rsidR="00236C44" w:rsidRPr="00054010" w:rsidRDefault="00D32782" w:rsidP="00D32782">
      <w:pPr>
        <w:pStyle w:val="Heading2"/>
        <w:numPr>
          <w:ilvl w:val="1"/>
          <w:numId w:val="30"/>
        </w:numPr>
        <w:spacing w:before="0" w:after="200" w:line="360" w:lineRule="auto"/>
        <w:jc w:val="both"/>
        <w:rPr>
          <w:rFonts w:ascii="Arial" w:hAnsi="Arial" w:cs="Arial"/>
          <w:sz w:val="24"/>
          <w:szCs w:val="24"/>
        </w:rPr>
      </w:pPr>
      <w:r w:rsidRPr="00054010">
        <w:rPr>
          <w:rFonts w:ascii="Arial" w:hAnsi="Arial" w:cs="Arial"/>
          <w:sz w:val="20"/>
          <w:szCs w:val="20"/>
        </w:rPr>
        <w:t xml:space="preserve">   </w:t>
      </w:r>
      <w:r w:rsidR="00236C44" w:rsidRPr="00054010">
        <w:rPr>
          <w:rFonts w:ascii="Arial" w:hAnsi="Arial" w:cs="Arial"/>
          <w:color w:val="0070C0"/>
          <w:sz w:val="24"/>
          <w:szCs w:val="24"/>
        </w:rPr>
        <w:t>Delays/Unavailability</w:t>
      </w:r>
      <w:bookmarkEnd w:id="9"/>
    </w:p>
    <w:p w14:paraId="2EBE4BEA" w14:textId="29F81FFC" w:rsidR="00236C44" w:rsidRPr="00054010" w:rsidRDefault="00236C44" w:rsidP="00033806">
      <w:pPr>
        <w:spacing w:after="200" w:line="360" w:lineRule="auto"/>
        <w:jc w:val="both"/>
        <w:rPr>
          <w:rFonts w:ascii="Arial" w:hAnsi="Arial" w:cs="Arial"/>
          <w:b/>
          <w:bCs/>
          <w:color w:val="196B24" w:themeColor="accent3"/>
          <w:sz w:val="20"/>
          <w:szCs w:val="20"/>
        </w:rPr>
      </w:pPr>
      <w:r w:rsidRPr="00054010">
        <w:rPr>
          <w:rFonts w:ascii="Arial" w:hAnsi="Arial" w:cs="Arial"/>
          <w:sz w:val="20"/>
          <w:szCs w:val="20"/>
        </w:rPr>
        <w:br/>
        <w:t>Where patients repeatedly delay their diagnosis and treatment, and the responsible clinician believes it to be in the patients’ best clinical interest, then they may be discharged back to the care of their GP and taken off the 62-day pathway. This also applies when patients explicitly refuse all offers of diagnosis and/or treatment</w:t>
      </w:r>
      <w:r w:rsidR="00D32782" w:rsidRPr="00054010">
        <w:rPr>
          <w:rFonts w:ascii="Arial" w:hAnsi="Arial" w:cs="Arial"/>
          <w:sz w:val="20"/>
          <w:szCs w:val="20"/>
        </w:rPr>
        <w:t xml:space="preserve">.  Prior to such a decision, a Trust must be able to demonstrate that all appropriate steps have been followed, with contact from navigator / administrator, nurse and clinician to ensure the patient fully understands, with appropriate support if the patient requires support or does not have capacity.  </w:t>
      </w:r>
    </w:p>
    <w:p w14:paraId="55730F3F" w14:textId="66C8879A" w:rsidR="00236C44" w:rsidRPr="00054010" w:rsidRDefault="00236C44" w:rsidP="00033806">
      <w:pPr>
        <w:spacing w:after="200" w:line="360" w:lineRule="auto"/>
        <w:jc w:val="both"/>
        <w:rPr>
          <w:rFonts w:ascii="Arial" w:hAnsi="Arial" w:cs="Arial"/>
          <w:sz w:val="20"/>
          <w:szCs w:val="20"/>
        </w:rPr>
      </w:pPr>
      <w:r w:rsidRPr="00054010">
        <w:rPr>
          <w:rFonts w:ascii="Arial" w:hAnsi="Arial" w:cs="Arial"/>
          <w:sz w:val="20"/>
          <w:szCs w:val="20"/>
        </w:rPr>
        <w:t xml:space="preserve">If a provider receives a referral and the patient is unable to attend </w:t>
      </w:r>
      <w:r w:rsidR="00D32782" w:rsidRPr="00054010">
        <w:rPr>
          <w:rFonts w:ascii="Arial" w:hAnsi="Arial" w:cs="Arial"/>
          <w:sz w:val="20"/>
          <w:szCs w:val="20"/>
        </w:rPr>
        <w:t>4</w:t>
      </w:r>
      <w:r w:rsidRPr="00054010">
        <w:rPr>
          <w:rFonts w:ascii="Arial" w:hAnsi="Arial" w:cs="Arial"/>
          <w:sz w:val="20"/>
          <w:szCs w:val="20"/>
        </w:rPr>
        <w:t xml:space="preserve"> reasonable appointments within 3 weeks, their referral will be sent for a clinical review to ensure there is no clinical detriment to the patient. The patient will be encouraged to accept an earlier appointment</w:t>
      </w:r>
      <w:r w:rsidR="00054010" w:rsidRPr="00054010">
        <w:rPr>
          <w:rFonts w:ascii="Arial" w:hAnsi="Arial" w:cs="Arial"/>
          <w:sz w:val="20"/>
          <w:szCs w:val="20"/>
        </w:rPr>
        <w:t xml:space="preserve"> but if the</w:t>
      </w:r>
      <w:r w:rsidRPr="00054010">
        <w:rPr>
          <w:rFonts w:ascii="Arial" w:hAnsi="Arial" w:cs="Arial"/>
          <w:sz w:val="20"/>
          <w:szCs w:val="20"/>
        </w:rPr>
        <w:t xml:space="preserve"> patient refuses to accept an earlier date, then the appointment should still be booked, and the clock continues from the original referral date. </w:t>
      </w:r>
    </w:p>
    <w:p w14:paraId="1AFCB121" w14:textId="77777777" w:rsidR="00236C44" w:rsidRPr="00054010" w:rsidRDefault="00236C44" w:rsidP="00033806">
      <w:pPr>
        <w:spacing w:after="200" w:line="360" w:lineRule="auto"/>
        <w:jc w:val="both"/>
        <w:rPr>
          <w:rFonts w:ascii="Arial" w:hAnsi="Arial" w:cs="Arial"/>
          <w:sz w:val="20"/>
          <w:szCs w:val="20"/>
        </w:rPr>
      </w:pPr>
    </w:p>
    <w:sectPr w:rsidR="00236C44" w:rsidRPr="000540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4521"/>
    <w:multiLevelType w:val="multilevel"/>
    <w:tmpl w:val="7FB23454"/>
    <w:lvl w:ilvl="0">
      <w:start w:val="8"/>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51B1020"/>
    <w:multiLevelType w:val="multilevel"/>
    <w:tmpl w:val="16984C3E"/>
    <w:lvl w:ilvl="0">
      <w:start w:val="3"/>
      <w:numFmt w:val="decimal"/>
      <w:lvlText w:val="%1.0"/>
      <w:lvlJc w:val="left"/>
      <w:pPr>
        <w:ind w:left="360" w:hanging="360"/>
      </w:pPr>
      <w:rPr>
        <w:rFonts w:hint="default"/>
      </w:rPr>
    </w:lvl>
    <w:lvl w:ilvl="1">
      <w:start w:val="1"/>
      <w:numFmt w:val="decimal"/>
      <w:lvlText w:val="%1.%2"/>
      <w:lvlJc w:val="left"/>
      <w:pPr>
        <w:ind w:left="360" w:hanging="360"/>
      </w:pPr>
      <w:rPr>
        <w:rFonts w:hint="default"/>
        <w:color w:val="0070C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D9B2488"/>
    <w:multiLevelType w:val="multilevel"/>
    <w:tmpl w:val="2FD4587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color w:val="0070C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7112EB"/>
    <w:multiLevelType w:val="multilevel"/>
    <w:tmpl w:val="373A070A"/>
    <w:lvl w:ilvl="0">
      <w:start w:val="3"/>
      <w:numFmt w:val="decimal"/>
      <w:lvlText w:val="%1"/>
      <w:lvlJc w:val="left"/>
      <w:pPr>
        <w:ind w:left="360" w:hanging="360"/>
      </w:pPr>
      <w:rPr>
        <w:rFonts w:hint="default"/>
      </w:rPr>
    </w:lvl>
    <w:lvl w:ilvl="1">
      <w:start w:val="4"/>
      <w:numFmt w:val="decimal"/>
      <w:lvlText w:val="%1.%2"/>
      <w:lvlJc w:val="left"/>
      <w:pPr>
        <w:ind w:left="501" w:hanging="360"/>
      </w:pPr>
      <w:rPr>
        <w:rFonts w:hint="default"/>
        <w:color w:val="0070C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F976A6"/>
    <w:multiLevelType w:val="hybridMultilevel"/>
    <w:tmpl w:val="9A74ECB0"/>
    <w:lvl w:ilvl="0" w:tplc="4D760EBC">
      <w:numFmt w:val="bullet"/>
      <w:lvlText w:val=""/>
      <w:lvlJc w:val="left"/>
      <w:pPr>
        <w:ind w:left="1148" w:hanging="428"/>
      </w:pPr>
      <w:rPr>
        <w:rFonts w:ascii="Symbol" w:eastAsia="Symbol" w:hAnsi="Symbol" w:cs="Symbol" w:hint="default"/>
        <w:b w:val="0"/>
        <w:bCs w:val="0"/>
        <w:i w:val="0"/>
        <w:iCs w:val="0"/>
        <w:w w:val="100"/>
        <w:sz w:val="24"/>
        <w:szCs w:val="24"/>
        <w:lang w:val="en-GB"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6F5FD5"/>
    <w:multiLevelType w:val="multilevel"/>
    <w:tmpl w:val="910C03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DDE7787"/>
    <w:multiLevelType w:val="multilevel"/>
    <w:tmpl w:val="9B66084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EDC08B7"/>
    <w:multiLevelType w:val="hybridMultilevel"/>
    <w:tmpl w:val="57F6FA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39F43AF"/>
    <w:multiLevelType w:val="hybridMultilevel"/>
    <w:tmpl w:val="BA06144A"/>
    <w:lvl w:ilvl="0" w:tplc="4D760EBC">
      <w:numFmt w:val="bullet"/>
      <w:lvlText w:val=""/>
      <w:lvlJc w:val="left"/>
      <w:pPr>
        <w:ind w:left="1148" w:hanging="428"/>
      </w:pPr>
      <w:rPr>
        <w:rFonts w:ascii="Symbol" w:eastAsia="Symbol" w:hAnsi="Symbol" w:cs="Symbol" w:hint="default"/>
        <w:b w:val="0"/>
        <w:bCs w:val="0"/>
        <w:i w:val="0"/>
        <w:iCs w:val="0"/>
        <w:w w:val="100"/>
        <w:sz w:val="24"/>
        <w:szCs w:val="24"/>
        <w:lang w:val="en-GB"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CB6C88"/>
    <w:multiLevelType w:val="multilevel"/>
    <w:tmpl w:val="E6F039D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FB45467"/>
    <w:multiLevelType w:val="hybridMultilevel"/>
    <w:tmpl w:val="63C04E0C"/>
    <w:lvl w:ilvl="0" w:tplc="4D760EBC">
      <w:numFmt w:val="bullet"/>
      <w:lvlText w:val=""/>
      <w:lvlJc w:val="left"/>
      <w:pPr>
        <w:ind w:left="1148" w:hanging="428"/>
      </w:pPr>
      <w:rPr>
        <w:rFonts w:ascii="Symbol" w:eastAsia="Symbol" w:hAnsi="Symbol" w:cs="Symbol" w:hint="default"/>
        <w:b w:val="0"/>
        <w:bCs w:val="0"/>
        <w:i w:val="0"/>
        <w:iCs w:val="0"/>
        <w:w w:val="100"/>
        <w:sz w:val="24"/>
        <w:szCs w:val="24"/>
        <w:lang w:val="en-GB"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5259A2"/>
    <w:multiLevelType w:val="multilevel"/>
    <w:tmpl w:val="AC9A111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B43A74"/>
    <w:multiLevelType w:val="hybridMultilevel"/>
    <w:tmpl w:val="45AEAA6E"/>
    <w:lvl w:ilvl="0" w:tplc="4D760EBC">
      <w:numFmt w:val="bullet"/>
      <w:lvlText w:val=""/>
      <w:lvlJc w:val="left"/>
      <w:pPr>
        <w:ind w:left="1148" w:hanging="428"/>
      </w:pPr>
      <w:rPr>
        <w:rFonts w:ascii="Symbol" w:eastAsia="Symbol" w:hAnsi="Symbol" w:cs="Symbol" w:hint="default"/>
        <w:b w:val="0"/>
        <w:bCs w:val="0"/>
        <w:i w:val="0"/>
        <w:iCs w:val="0"/>
        <w:w w:val="100"/>
        <w:sz w:val="24"/>
        <w:szCs w:val="24"/>
        <w:lang w:val="en-GB"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CE582B"/>
    <w:multiLevelType w:val="multilevel"/>
    <w:tmpl w:val="489ABE7A"/>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AA66C1"/>
    <w:multiLevelType w:val="hybridMultilevel"/>
    <w:tmpl w:val="860E39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3990E16"/>
    <w:multiLevelType w:val="hybridMultilevel"/>
    <w:tmpl w:val="43520AFC"/>
    <w:lvl w:ilvl="0" w:tplc="DBC482F2">
      <w:numFmt w:val="bullet"/>
      <w:lvlText w:val="•"/>
      <w:lvlJc w:val="left"/>
      <w:pPr>
        <w:ind w:left="1440" w:hanging="720"/>
      </w:pPr>
      <w:rPr>
        <w:rFonts w:ascii="Arial" w:eastAsia="Arial" w:hAnsi="Arial" w:cs="Arial" w:hint="default"/>
        <w:b w:val="0"/>
        <w:bCs w:val="0"/>
        <w:i w:val="0"/>
        <w:iCs w:val="0"/>
        <w:spacing w:val="0"/>
        <w:w w:val="100"/>
        <w:sz w:val="24"/>
        <w:szCs w:val="24"/>
        <w:lang w:val="en-US" w:eastAsia="en-US" w:bidi="ar-SA"/>
      </w:rPr>
    </w:lvl>
    <w:lvl w:ilvl="1" w:tplc="F664E99E">
      <w:numFmt w:val="bullet"/>
      <w:lvlText w:val="•"/>
      <w:lvlJc w:val="left"/>
      <w:pPr>
        <w:ind w:left="2253" w:hanging="720"/>
      </w:pPr>
      <w:rPr>
        <w:rFonts w:hint="default"/>
        <w:lang w:val="en-US" w:eastAsia="en-US" w:bidi="ar-SA"/>
      </w:rPr>
    </w:lvl>
    <w:lvl w:ilvl="2" w:tplc="129C40E0">
      <w:numFmt w:val="bullet"/>
      <w:lvlText w:val="•"/>
      <w:lvlJc w:val="left"/>
      <w:pPr>
        <w:ind w:left="3074" w:hanging="720"/>
      </w:pPr>
      <w:rPr>
        <w:rFonts w:hint="default"/>
        <w:lang w:val="en-US" w:eastAsia="en-US" w:bidi="ar-SA"/>
      </w:rPr>
    </w:lvl>
    <w:lvl w:ilvl="3" w:tplc="40B00C96">
      <w:numFmt w:val="bullet"/>
      <w:lvlText w:val="•"/>
      <w:lvlJc w:val="left"/>
      <w:pPr>
        <w:ind w:left="3894" w:hanging="720"/>
      </w:pPr>
      <w:rPr>
        <w:rFonts w:hint="default"/>
        <w:lang w:val="en-US" w:eastAsia="en-US" w:bidi="ar-SA"/>
      </w:rPr>
    </w:lvl>
    <w:lvl w:ilvl="4" w:tplc="5CEA0BD8">
      <w:numFmt w:val="bullet"/>
      <w:lvlText w:val="•"/>
      <w:lvlJc w:val="left"/>
      <w:pPr>
        <w:ind w:left="4715" w:hanging="720"/>
      </w:pPr>
      <w:rPr>
        <w:rFonts w:hint="default"/>
        <w:lang w:val="en-US" w:eastAsia="en-US" w:bidi="ar-SA"/>
      </w:rPr>
    </w:lvl>
    <w:lvl w:ilvl="5" w:tplc="BC86D6F8">
      <w:numFmt w:val="bullet"/>
      <w:lvlText w:val="•"/>
      <w:lvlJc w:val="left"/>
      <w:pPr>
        <w:ind w:left="5536" w:hanging="720"/>
      </w:pPr>
      <w:rPr>
        <w:rFonts w:hint="default"/>
        <w:lang w:val="en-US" w:eastAsia="en-US" w:bidi="ar-SA"/>
      </w:rPr>
    </w:lvl>
    <w:lvl w:ilvl="6" w:tplc="749CEBF8">
      <w:numFmt w:val="bullet"/>
      <w:lvlText w:val="•"/>
      <w:lvlJc w:val="left"/>
      <w:pPr>
        <w:ind w:left="6356" w:hanging="720"/>
      </w:pPr>
      <w:rPr>
        <w:rFonts w:hint="default"/>
        <w:lang w:val="en-US" w:eastAsia="en-US" w:bidi="ar-SA"/>
      </w:rPr>
    </w:lvl>
    <w:lvl w:ilvl="7" w:tplc="3D8A4142">
      <w:numFmt w:val="bullet"/>
      <w:lvlText w:val="•"/>
      <w:lvlJc w:val="left"/>
      <w:pPr>
        <w:ind w:left="7177" w:hanging="720"/>
      </w:pPr>
      <w:rPr>
        <w:rFonts w:hint="default"/>
        <w:lang w:val="en-US" w:eastAsia="en-US" w:bidi="ar-SA"/>
      </w:rPr>
    </w:lvl>
    <w:lvl w:ilvl="8" w:tplc="F2487A56">
      <w:numFmt w:val="bullet"/>
      <w:lvlText w:val="•"/>
      <w:lvlJc w:val="left"/>
      <w:pPr>
        <w:ind w:left="7998" w:hanging="720"/>
      </w:pPr>
      <w:rPr>
        <w:rFonts w:hint="default"/>
        <w:lang w:val="en-US" w:eastAsia="en-US" w:bidi="ar-SA"/>
      </w:rPr>
    </w:lvl>
  </w:abstractNum>
  <w:abstractNum w:abstractNumId="16" w15:restartNumberingAfterBreak="0">
    <w:nsid w:val="43A24DE2"/>
    <w:multiLevelType w:val="multilevel"/>
    <w:tmpl w:val="7312FC10"/>
    <w:lvl w:ilvl="0">
      <w:start w:val="1"/>
      <w:numFmt w:val="decimal"/>
      <w:lvlText w:val="%1."/>
      <w:lvlJc w:val="left"/>
      <w:pPr>
        <w:ind w:left="360" w:hanging="360"/>
      </w:pPr>
    </w:lvl>
    <w:lvl w:ilvl="1">
      <w:start w:val="1"/>
      <w:numFmt w:val="decimal"/>
      <w:lvlText w:val="%1.%2."/>
      <w:lvlJc w:val="left"/>
      <w:pPr>
        <w:ind w:left="715" w:hanging="432"/>
      </w:pPr>
      <w:rPr>
        <w:sz w:val="24"/>
        <w:szCs w:val="24"/>
      </w:rPr>
    </w:lvl>
    <w:lvl w:ilvl="2">
      <w:start w:val="1"/>
      <w:numFmt w:val="decimal"/>
      <w:lvlText w:val="%1.%2.%3."/>
      <w:lvlJc w:val="left"/>
      <w:pPr>
        <w:ind w:left="122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EE48D7"/>
    <w:multiLevelType w:val="hybridMultilevel"/>
    <w:tmpl w:val="AEF815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ADD3877"/>
    <w:multiLevelType w:val="hybridMultilevel"/>
    <w:tmpl w:val="D2D834DA"/>
    <w:lvl w:ilvl="0" w:tplc="4D760EBC">
      <w:numFmt w:val="bullet"/>
      <w:lvlText w:val=""/>
      <w:lvlJc w:val="left"/>
      <w:pPr>
        <w:ind w:left="1148" w:hanging="428"/>
      </w:pPr>
      <w:rPr>
        <w:rFonts w:ascii="Symbol" w:eastAsia="Symbol" w:hAnsi="Symbol" w:cs="Symbol" w:hint="default"/>
        <w:b w:val="0"/>
        <w:bCs w:val="0"/>
        <w:i w:val="0"/>
        <w:iCs w:val="0"/>
        <w:w w:val="100"/>
        <w:sz w:val="24"/>
        <w:szCs w:val="24"/>
        <w:lang w:val="en-GB"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E202AC"/>
    <w:multiLevelType w:val="hybridMultilevel"/>
    <w:tmpl w:val="424A9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810647"/>
    <w:multiLevelType w:val="hybridMultilevel"/>
    <w:tmpl w:val="0EB21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2D1DE9"/>
    <w:multiLevelType w:val="hybridMultilevel"/>
    <w:tmpl w:val="22D0CA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9DC13F3"/>
    <w:multiLevelType w:val="multilevel"/>
    <w:tmpl w:val="FFCA730A"/>
    <w:lvl w:ilvl="0">
      <w:start w:val="4"/>
      <w:numFmt w:val="decimal"/>
      <w:lvlText w:val="%1"/>
      <w:lvlJc w:val="left"/>
      <w:pPr>
        <w:ind w:left="920" w:hanging="920"/>
      </w:pPr>
      <w:rPr>
        <w:rFonts w:hint="default"/>
      </w:rPr>
    </w:lvl>
    <w:lvl w:ilvl="1">
      <w:start w:val="3"/>
      <w:numFmt w:val="decimal"/>
      <w:lvlText w:val="%1.%2"/>
      <w:lvlJc w:val="left"/>
      <w:pPr>
        <w:ind w:left="920" w:hanging="920"/>
      </w:pPr>
      <w:rPr>
        <w:rFonts w:hint="default"/>
      </w:rPr>
    </w:lvl>
    <w:lvl w:ilvl="2">
      <w:start w:val="2"/>
      <w:numFmt w:val="decimal"/>
      <w:lvlText w:val="%1.%2.%3"/>
      <w:lvlJc w:val="left"/>
      <w:pPr>
        <w:ind w:left="920" w:hanging="920"/>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E1E6A88"/>
    <w:multiLevelType w:val="hybridMultilevel"/>
    <w:tmpl w:val="508C6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27858A7"/>
    <w:multiLevelType w:val="hybridMultilevel"/>
    <w:tmpl w:val="6BEE0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2E73AD"/>
    <w:multiLevelType w:val="multilevel"/>
    <w:tmpl w:val="0FAA38E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74630F"/>
    <w:multiLevelType w:val="hybridMultilevel"/>
    <w:tmpl w:val="C23035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BF90FB7"/>
    <w:multiLevelType w:val="multilevel"/>
    <w:tmpl w:val="1FAA31D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1692BDF"/>
    <w:multiLevelType w:val="hybridMultilevel"/>
    <w:tmpl w:val="6E808E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CDD7C11"/>
    <w:multiLevelType w:val="multilevel"/>
    <w:tmpl w:val="AECC77E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310990308">
    <w:abstractNumId w:val="17"/>
  </w:num>
  <w:num w:numId="2" w16cid:durableId="1052732231">
    <w:abstractNumId w:val="16"/>
  </w:num>
  <w:num w:numId="3" w16cid:durableId="1417361142">
    <w:abstractNumId w:val="14"/>
  </w:num>
  <w:num w:numId="4" w16cid:durableId="244076017">
    <w:abstractNumId w:val="24"/>
  </w:num>
  <w:num w:numId="5" w16cid:durableId="1545945445">
    <w:abstractNumId w:val="29"/>
  </w:num>
  <w:num w:numId="6" w16cid:durableId="211045723">
    <w:abstractNumId w:val="15"/>
  </w:num>
  <w:num w:numId="7" w16cid:durableId="608200900">
    <w:abstractNumId w:val="21"/>
  </w:num>
  <w:num w:numId="8" w16cid:durableId="1952201075">
    <w:abstractNumId w:val="7"/>
  </w:num>
  <w:num w:numId="9" w16cid:durableId="635990146">
    <w:abstractNumId w:val="28"/>
  </w:num>
  <w:num w:numId="10" w16cid:durableId="358555618">
    <w:abstractNumId w:val="5"/>
  </w:num>
  <w:num w:numId="11" w16cid:durableId="149444939">
    <w:abstractNumId w:val="19"/>
  </w:num>
  <w:num w:numId="12" w16cid:durableId="1657799466">
    <w:abstractNumId w:val="22"/>
  </w:num>
  <w:num w:numId="13" w16cid:durableId="1492915989">
    <w:abstractNumId w:val="12"/>
  </w:num>
  <w:num w:numId="14" w16cid:durableId="2045204415">
    <w:abstractNumId w:val="26"/>
  </w:num>
  <w:num w:numId="15" w16cid:durableId="1765758342">
    <w:abstractNumId w:val="10"/>
  </w:num>
  <w:num w:numId="16" w16cid:durableId="1782264269">
    <w:abstractNumId w:val="18"/>
  </w:num>
  <w:num w:numId="17" w16cid:durableId="1507939871">
    <w:abstractNumId w:val="8"/>
  </w:num>
  <w:num w:numId="18" w16cid:durableId="1906716665">
    <w:abstractNumId w:val="4"/>
  </w:num>
  <w:num w:numId="19" w16cid:durableId="2022509963">
    <w:abstractNumId w:val="20"/>
  </w:num>
  <w:num w:numId="20" w16cid:durableId="847906658">
    <w:abstractNumId w:val="23"/>
  </w:num>
  <w:num w:numId="21" w16cid:durableId="737751141">
    <w:abstractNumId w:val="25"/>
  </w:num>
  <w:num w:numId="22" w16cid:durableId="1961447623">
    <w:abstractNumId w:val="0"/>
  </w:num>
  <w:num w:numId="23" w16cid:durableId="1643188999">
    <w:abstractNumId w:val="6"/>
  </w:num>
  <w:num w:numId="24" w16cid:durableId="2084522249">
    <w:abstractNumId w:val="9"/>
  </w:num>
  <w:num w:numId="25" w16cid:durableId="1361279215">
    <w:abstractNumId w:val="27"/>
  </w:num>
  <w:num w:numId="26" w16cid:durableId="1599554817">
    <w:abstractNumId w:val="13"/>
  </w:num>
  <w:num w:numId="27" w16cid:durableId="447090743">
    <w:abstractNumId w:val="11"/>
  </w:num>
  <w:num w:numId="28" w16cid:durableId="324864673">
    <w:abstractNumId w:val="2"/>
  </w:num>
  <w:num w:numId="29" w16cid:durableId="479421246">
    <w:abstractNumId w:val="1"/>
  </w:num>
  <w:num w:numId="30" w16cid:durableId="235894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67"/>
    <w:rsid w:val="00033806"/>
    <w:rsid w:val="00040F12"/>
    <w:rsid w:val="0004435F"/>
    <w:rsid w:val="00054010"/>
    <w:rsid w:val="000B459A"/>
    <w:rsid w:val="001317CD"/>
    <w:rsid w:val="0014662D"/>
    <w:rsid w:val="0016754F"/>
    <w:rsid w:val="00201867"/>
    <w:rsid w:val="00236C44"/>
    <w:rsid w:val="00246585"/>
    <w:rsid w:val="002E3EC5"/>
    <w:rsid w:val="00304022"/>
    <w:rsid w:val="00353FB3"/>
    <w:rsid w:val="003B5703"/>
    <w:rsid w:val="003C1064"/>
    <w:rsid w:val="003C5E99"/>
    <w:rsid w:val="003E7D82"/>
    <w:rsid w:val="004671AC"/>
    <w:rsid w:val="004C6375"/>
    <w:rsid w:val="005069AA"/>
    <w:rsid w:val="0053508C"/>
    <w:rsid w:val="0056500F"/>
    <w:rsid w:val="005E2567"/>
    <w:rsid w:val="00664F40"/>
    <w:rsid w:val="00670AAF"/>
    <w:rsid w:val="007029E4"/>
    <w:rsid w:val="00787A1C"/>
    <w:rsid w:val="009056AF"/>
    <w:rsid w:val="00972E42"/>
    <w:rsid w:val="009D66DF"/>
    <w:rsid w:val="00A2093A"/>
    <w:rsid w:val="00AB4F0F"/>
    <w:rsid w:val="00AF7F92"/>
    <w:rsid w:val="00BF42B8"/>
    <w:rsid w:val="00C526F2"/>
    <w:rsid w:val="00C77B35"/>
    <w:rsid w:val="00CA33F4"/>
    <w:rsid w:val="00D26916"/>
    <w:rsid w:val="00D32782"/>
    <w:rsid w:val="00D87E53"/>
    <w:rsid w:val="00DE1677"/>
    <w:rsid w:val="00E14973"/>
    <w:rsid w:val="00E83702"/>
    <w:rsid w:val="00E95AB8"/>
    <w:rsid w:val="00F10BCD"/>
    <w:rsid w:val="00FA18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5C850"/>
  <w15:chartTrackingRefBased/>
  <w15:docId w15:val="{3A848583-99E3-4CD5-9804-84442B99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25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E25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E25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25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25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25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25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25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25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25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E25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E25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25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25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25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25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25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2567"/>
    <w:rPr>
      <w:rFonts w:eastAsiaTheme="majorEastAsia" w:cstheme="majorBidi"/>
      <w:color w:val="272727" w:themeColor="text1" w:themeTint="D8"/>
    </w:rPr>
  </w:style>
  <w:style w:type="paragraph" w:styleId="Title">
    <w:name w:val="Title"/>
    <w:basedOn w:val="Normal"/>
    <w:next w:val="Normal"/>
    <w:link w:val="TitleChar"/>
    <w:uiPriority w:val="10"/>
    <w:qFormat/>
    <w:rsid w:val="005E25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25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25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25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2567"/>
    <w:pPr>
      <w:spacing w:before="160"/>
      <w:jc w:val="center"/>
    </w:pPr>
    <w:rPr>
      <w:i/>
      <w:iCs/>
      <w:color w:val="404040" w:themeColor="text1" w:themeTint="BF"/>
    </w:rPr>
  </w:style>
  <w:style w:type="character" w:customStyle="1" w:styleId="QuoteChar">
    <w:name w:val="Quote Char"/>
    <w:basedOn w:val="DefaultParagraphFont"/>
    <w:link w:val="Quote"/>
    <w:uiPriority w:val="29"/>
    <w:rsid w:val="005E2567"/>
    <w:rPr>
      <w:i/>
      <w:iCs/>
      <w:color w:val="404040" w:themeColor="text1" w:themeTint="BF"/>
    </w:rPr>
  </w:style>
  <w:style w:type="paragraph" w:styleId="ListParagraph">
    <w:name w:val="List Paragraph"/>
    <w:basedOn w:val="Normal"/>
    <w:link w:val="ListParagraphChar"/>
    <w:uiPriority w:val="34"/>
    <w:qFormat/>
    <w:rsid w:val="005E2567"/>
    <w:pPr>
      <w:ind w:left="720"/>
      <w:contextualSpacing/>
    </w:pPr>
  </w:style>
  <w:style w:type="character" w:styleId="IntenseEmphasis">
    <w:name w:val="Intense Emphasis"/>
    <w:basedOn w:val="DefaultParagraphFont"/>
    <w:uiPriority w:val="21"/>
    <w:qFormat/>
    <w:rsid w:val="005E2567"/>
    <w:rPr>
      <w:i/>
      <w:iCs/>
      <w:color w:val="0F4761" w:themeColor="accent1" w:themeShade="BF"/>
    </w:rPr>
  </w:style>
  <w:style w:type="paragraph" w:styleId="IntenseQuote">
    <w:name w:val="Intense Quote"/>
    <w:basedOn w:val="Normal"/>
    <w:next w:val="Normal"/>
    <w:link w:val="IntenseQuoteChar"/>
    <w:uiPriority w:val="30"/>
    <w:qFormat/>
    <w:rsid w:val="005E25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2567"/>
    <w:rPr>
      <w:i/>
      <w:iCs/>
      <w:color w:val="0F4761" w:themeColor="accent1" w:themeShade="BF"/>
    </w:rPr>
  </w:style>
  <w:style w:type="character" w:styleId="IntenseReference">
    <w:name w:val="Intense Reference"/>
    <w:basedOn w:val="DefaultParagraphFont"/>
    <w:uiPriority w:val="32"/>
    <w:qFormat/>
    <w:rsid w:val="005E2567"/>
    <w:rPr>
      <w:b/>
      <w:bCs/>
      <w:smallCaps/>
      <w:color w:val="0F4761" w:themeColor="accent1" w:themeShade="BF"/>
      <w:spacing w:val="5"/>
    </w:rPr>
  </w:style>
  <w:style w:type="character" w:styleId="Hyperlink">
    <w:name w:val="Hyperlink"/>
    <w:uiPriority w:val="99"/>
    <w:rsid w:val="005E2567"/>
    <w:rPr>
      <w:color w:val="0000FF"/>
      <w:u w:val="single"/>
    </w:rPr>
  </w:style>
  <w:style w:type="paragraph" w:styleId="TOC1">
    <w:name w:val="toc 1"/>
    <w:basedOn w:val="Normal"/>
    <w:next w:val="Normal"/>
    <w:autoRedefine/>
    <w:uiPriority w:val="39"/>
    <w:unhideWhenUsed/>
    <w:rsid w:val="005E2567"/>
    <w:pPr>
      <w:spacing w:after="100" w:line="240" w:lineRule="auto"/>
    </w:pPr>
    <w:rPr>
      <w:rFonts w:ascii="Arial" w:eastAsia="Times New Roman" w:hAnsi="Arial" w:cs="Arial"/>
      <w:b/>
      <w:color w:val="196B24" w:themeColor="accent3"/>
      <w:kern w:val="0"/>
      <w:szCs w:val="28"/>
      <w14:ligatures w14:val="none"/>
    </w:rPr>
  </w:style>
  <w:style w:type="paragraph" w:styleId="TOC2">
    <w:name w:val="toc 2"/>
    <w:basedOn w:val="Normal"/>
    <w:next w:val="Normal"/>
    <w:autoRedefine/>
    <w:uiPriority w:val="39"/>
    <w:unhideWhenUsed/>
    <w:rsid w:val="005E2567"/>
    <w:pPr>
      <w:tabs>
        <w:tab w:val="left" w:pos="960"/>
        <w:tab w:val="right" w:leader="dot" w:pos="10456"/>
      </w:tabs>
      <w:spacing w:after="100" w:line="240" w:lineRule="auto"/>
      <w:ind w:left="220"/>
    </w:pPr>
    <w:rPr>
      <w:rFonts w:ascii="Arial" w:eastAsia="Times New Roman" w:hAnsi="Arial" w:cs="Times New Roman"/>
      <w:kern w:val="0"/>
      <w:sz w:val="20"/>
      <w14:ligatures w14:val="none"/>
    </w:rPr>
  </w:style>
  <w:style w:type="paragraph" w:customStyle="1" w:styleId="Default">
    <w:name w:val="Default"/>
    <w:rsid w:val="00664F40"/>
    <w:pPr>
      <w:autoSpaceDE w:val="0"/>
      <w:autoSpaceDN w:val="0"/>
      <w:adjustRightInd w:val="0"/>
      <w:spacing w:after="0" w:line="240" w:lineRule="auto"/>
    </w:pPr>
    <w:rPr>
      <w:rFonts w:ascii="Arial" w:eastAsia="Times New Roman" w:hAnsi="Arial" w:cs="Arial"/>
      <w:color w:val="000000"/>
      <w:kern w:val="0"/>
      <w:sz w:val="24"/>
      <w:szCs w:val="24"/>
      <w:lang w:eastAsia="en-GB"/>
      <w14:ligatures w14:val="none"/>
    </w:rPr>
  </w:style>
  <w:style w:type="table" w:styleId="TableGrid">
    <w:name w:val="Table Grid"/>
    <w:basedOn w:val="TableNormal"/>
    <w:uiPriority w:val="39"/>
    <w:rsid w:val="00664F40"/>
    <w:pPr>
      <w:spacing w:after="0" w:line="240" w:lineRule="auto"/>
    </w:pPr>
    <w:rPr>
      <w:rFonts w:ascii="Calibri" w:eastAsia="Times New Roman" w:hAnsi="Calibri"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64F40"/>
  </w:style>
  <w:style w:type="character" w:styleId="FollowedHyperlink">
    <w:name w:val="FollowedHyperlink"/>
    <w:basedOn w:val="DefaultParagraphFont"/>
    <w:uiPriority w:val="99"/>
    <w:semiHidden/>
    <w:unhideWhenUsed/>
    <w:rsid w:val="00236C44"/>
    <w:rPr>
      <w:color w:val="96607D" w:themeColor="followedHyperlink"/>
      <w:u w:val="single"/>
    </w:rPr>
  </w:style>
  <w:style w:type="paragraph" w:styleId="BodyText">
    <w:name w:val="Body Text"/>
    <w:basedOn w:val="Normal"/>
    <w:link w:val="BodyTextChar"/>
    <w:uiPriority w:val="99"/>
    <w:rsid w:val="00236C44"/>
    <w:pPr>
      <w:spacing w:after="0" w:line="240" w:lineRule="auto"/>
    </w:pPr>
    <w:rPr>
      <w:rFonts w:ascii="Times New Roman" w:eastAsia="Times New Roman" w:hAnsi="Times New Roman" w:cs="Times New Roman"/>
      <w:kern w:val="0"/>
      <w:sz w:val="24"/>
      <w:szCs w:val="20"/>
      <w:lang w:eastAsia="en-GB"/>
      <w14:ligatures w14:val="none"/>
    </w:rPr>
  </w:style>
  <w:style w:type="character" w:customStyle="1" w:styleId="BodyTextChar">
    <w:name w:val="Body Text Char"/>
    <w:basedOn w:val="DefaultParagraphFont"/>
    <w:link w:val="BodyText"/>
    <w:uiPriority w:val="99"/>
    <w:rsid w:val="00236C44"/>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br01.safelinks.protection.outlook.com/?url=https%3A%2F%2Fwww.england.nhs.uk%2Fpublication%2Frapid-cancer-diagnostic-and-assessment-pathways%2F&amp;data=05%7C02%7Candy.mcallister2%40nhs.net%7C5d60145cc90e4b840ec808dd622ae818%7C37c354b285b047f5b22207b48d774ee3%7C0%7C0%7C638774658596553372%7CUnknown%7CTWFpbGZsb3d8eyJFbXB0eU1hcGkiOnRydWUsIlYiOiIwLjAuMDAwMCIsIlAiOiJXaW4zMiIsIkFOIjoiTWFpbCIsIldUIjoyfQ%3D%3D%7C0%7C%7C%7C&amp;sdata=ELVPoiJk9VB%2F4Dqdopu3VcaBSlIJA8mcTc6O6%2FbGoMc%3D&amp;reserved=0" TargetMode="External"/><Relationship Id="rId5" Type="http://schemas.openxmlformats.org/officeDocument/2006/relationships/hyperlink" Target="https://www.gov.uk/government/publications/the-nhs-constitution-for-englan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9</Pages>
  <Words>2958</Words>
  <Characters>16865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The Christie NHS Foundation Trust</Company>
  <LinksUpToDate>false</LinksUpToDate>
  <CharactersWithSpaces>19784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Galligandawson Lisa (RBV) NHS Christie Tr</dc:creator>
  <cp:keywords/>
  <dc:description/>
  <cp:lastModifiedBy>Galligandawson Lisa (RBV) NHS Christie Tr</cp:lastModifiedBy>
  <cp:revision>2</cp:revision>
  <dcterms:created xsi:type="dcterms:W3CDTF">2025-05-06T14:19:00Z</dcterms:created>
  <dcterms:modified xsi:type="dcterms:W3CDTF">2025-05-06T14:19:00Z</dcterms:modified>
</cp:coreProperties>
</file>